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802C" w14:textId="4B9793EB" w:rsidR="00D33309" w:rsidRPr="008B602E" w:rsidRDefault="008B602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kern w:val="2"/>
          <w:lang w:val="de-DE"/>
        </w:rPr>
      </w:pPr>
      <w:r w:rsidRPr="008B602E">
        <w:rPr>
          <w:rFonts w:ascii="Calibri" w:hAnsi="Calibri" w:cs="Calibri"/>
          <w:kern w:val="2"/>
          <w:lang w:val="de-DE"/>
        </w:rPr>
        <w:t>Process Innovation</w:t>
      </w:r>
    </w:p>
    <w:p w14:paraId="7D683AA0" w14:textId="1A487E72" w:rsidR="00D33309" w:rsidRPr="00AC0074" w:rsidRDefault="009604AC" w:rsidP="00AC0074">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32"/>
          <w:szCs w:val="32"/>
          <w:lang w:val="de-DE"/>
        </w:rPr>
      </w:pPr>
      <w:r w:rsidRPr="00AC0074">
        <w:rPr>
          <w:rFonts w:ascii="Calibri" w:hAnsi="Calibri" w:cs="Calibri"/>
          <w:b/>
          <w:bCs/>
          <w:kern w:val="2"/>
          <w:sz w:val="32"/>
          <w:szCs w:val="32"/>
          <w:lang w:val="de-DE"/>
        </w:rPr>
        <w:t>Chemieanlagenbau mit neuer Landkarte</w:t>
      </w:r>
    </w:p>
    <w:p w14:paraId="229E0CC7" w14:textId="77777777" w:rsidR="00D33309" w:rsidRPr="00AC0074" w:rsidRDefault="009604AC">
      <w:pPr>
        <w:pStyle w:val="TextA"/>
        <w:rPr>
          <w:rFonts w:ascii="Calibri" w:hAnsi="Calibri" w:cs="Calibri"/>
          <w:sz w:val="20"/>
          <w:szCs w:val="20"/>
        </w:rPr>
      </w:pPr>
      <w:r w:rsidRPr="00AC0074">
        <w:rPr>
          <w:rFonts w:ascii="Calibri" w:hAnsi="Calibri" w:cs="Calibri"/>
          <w:sz w:val="24"/>
          <w:szCs w:val="24"/>
        </w:rPr>
        <w:t>Der globale Chemieanlagenbau hat sich seit der ACHEMA 2024 neu sortiert. Wo zuletzt die Dekarbonisierung den Takt vorgab, entscheiden heute zusätzlich Energiepreise, Geopolitik und Standortvorteile darüber, wo investiert, geplant und gebaut wird. Für den Chemieanlagenbau bedeutet das: Die Arbeit wird nicht weniger. Sie wandert dorthin, wo Rohstoffe, Energie und Genehmigungen verlässlich sind.</w:t>
      </w:r>
    </w:p>
    <w:p w14:paraId="245D037D" w14:textId="77777777" w:rsidR="00D33309" w:rsidRDefault="00D33309">
      <w:pPr>
        <w:pStyle w:val="TextA"/>
        <w:rPr>
          <w:rFonts w:ascii="Calibri" w:hAnsi="Calibri" w:cs="Calibri"/>
        </w:rPr>
      </w:pPr>
    </w:p>
    <w:p w14:paraId="297ECAEC" w14:textId="6B36D322" w:rsidR="008B602E" w:rsidRPr="00845B95" w:rsidRDefault="008B602E">
      <w:pPr>
        <w:pStyle w:val="TextA"/>
        <w:rPr>
          <w:rFonts w:ascii="Calibri" w:hAnsi="Calibri" w:cs="Calibri"/>
          <w:highlight w:val="yellow"/>
        </w:rPr>
      </w:pPr>
      <w:r w:rsidRPr="00845B95">
        <w:rPr>
          <w:rFonts w:ascii="Calibri" w:hAnsi="Calibri" w:cs="Calibri"/>
          <w:highlight w:val="yellow"/>
        </w:rPr>
        <w:t>BILD</w:t>
      </w:r>
      <w:r w:rsidR="00845B95">
        <w:rPr>
          <w:rFonts w:ascii="Calibri" w:hAnsi="Calibri" w:cs="Calibri"/>
          <w:highlight w:val="yellow"/>
        </w:rPr>
        <w:t xml:space="preserve"> einsetzen</w:t>
      </w:r>
      <w:r w:rsidR="00845B95" w:rsidRPr="00845B95">
        <w:rPr>
          <w:rFonts w:ascii="Calibri" w:hAnsi="Calibri" w:cs="Calibri"/>
          <w:highlight w:val="yellow"/>
        </w:rPr>
        <w:t xml:space="preserve">: </w:t>
      </w:r>
      <w:r w:rsidR="00845B95" w:rsidRPr="00845B95">
        <w:rPr>
          <w:rFonts w:ascii="Calibri" w:hAnsi="Calibri" w:cs="Calibri"/>
          <w:highlight w:val="yellow"/>
        </w:rPr>
        <w:t>AdobeStock_190332518_Kalyakan_Bild 1 (Header)</w:t>
      </w:r>
    </w:p>
    <w:p w14:paraId="1F5B9A0B" w14:textId="77777777" w:rsidR="00D33309" w:rsidRPr="008B602E" w:rsidRDefault="00D33309">
      <w:pPr>
        <w:pStyle w:val="TextA"/>
        <w:rPr>
          <w:rFonts w:ascii="Calibri" w:hAnsi="Calibri" w:cs="Calibri"/>
        </w:rPr>
      </w:pPr>
    </w:p>
    <w:p w14:paraId="1831645A"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Fünf Jahre nach dem Corona-Schock, drei Jahre nach dem Energiepreisschock durch den russischen Angriffskrieg und ein Jahr nach dem handelspolitischen Schock durch neue US-Zölle ist die Lage im globalen Chemieanlagenbau nicht einfacher geworden, dafür aber klarer. Die Investitionsströme haben sich neu sortiert, und die Technologien, die den nächsten Investitionszyklus prägen, stehen nicht mehr nur im Labor, sondern auf der Baustelle. Die Nachfrage ist da – aber sie ist anders verteilt als noch vor wenigen Jahren. Kapital fließt dorthin, wo Rohstoffe günstig, Energiepreise kalkulierbar und politische Rahmenbedingungen verlässlich sind. Und im Gegensatz zum früheren Auf und Ab ist das dieses Mal keine zyklische Schwäche Europas, sondern eine neue industrielle Landkarte.</w:t>
      </w:r>
    </w:p>
    <w:p w14:paraId="39E387B2" w14:textId="77777777" w:rsidR="00D33309" w:rsidRPr="00AC0074"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28"/>
          <w:szCs w:val="28"/>
          <w:lang w:val="de-DE"/>
        </w:rPr>
      </w:pPr>
      <w:r w:rsidRPr="00AC0074">
        <w:rPr>
          <w:rFonts w:ascii="Calibri" w:hAnsi="Calibri" w:cs="Calibri"/>
          <w:b/>
          <w:bCs/>
          <w:kern w:val="2"/>
          <w:sz w:val="28"/>
          <w:szCs w:val="28"/>
          <w:lang w:val="de-DE"/>
        </w:rPr>
        <w:t>Investitionen wandern an die Rohstoffstandorte</w:t>
      </w:r>
    </w:p>
    <w:p w14:paraId="68D97793"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 xml:space="preserve">Branchenanalysen sowie Daten von IEA und Cefic zeigen: Der überwiegende Teil neuer Petrochemie-Investitionen fließt nach Asien und in den Nahen Osten, Europa steuert nur noch einen einstelligen Prozentsatz bei. Zugleich ändert sich der Fokus der Projekte: LNG-Anlagen werden mit CO₂-Abscheidung geplant, Raffinerien zu integrierten Petrochemie-Komplexen ausgebaut, Wasserstoff- und Recyclinganlagen skaliert und Engineering-Prozesse digitalisiert. Der Chemieanlagenbau bleibt damit eine Schlüsselbranche der industriellen Transformation – nur verläuft diese deutlich pragmatischer, als es viele Netto-Null-Roadmaps der Jahre 2020 und 2021 erwarten ließen. </w:t>
      </w:r>
      <w:commentRangeStart w:id="0"/>
      <w:r w:rsidRPr="008B602E">
        <w:rPr>
          <w:rFonts w:ascii="Calibri" w:hAnsi="Calibri" w:cs="Calibri"/>
          <w:b/>
          <w:bCs/>
          <w:i/>
          <w:iCs/>
          <w:kern w:val="2"/>
          <w:lang w:val="de-DE"/>
        </w:rPr>
        <w:t>Der Anlagenbau-Verband VDMA bringt es auf den Punkt: „Die Transformation hin zu klimaneutralen Technologien verläuft langsamer als erwartet.“</w:t>
      </w:r>
      <w:commentRangeEnd w:id="0"/>
      <w:r w:rsidR="00845B95" w:rsidRPr="008B602E">
        <w:rPr>
          <w:rStyle w:val="Kommentarzeichen"/>
          <w:rFonts w:ascii="Calibri" w:eastAsia="Arial Narrow" w:hAnsi="Calibri" w:cs="Calibri"/>
          <w:kern w:val="2"/>
          <w:sz w:val="24"/>
          <w:szCs w:val="24"/>
          <w:lang w:val="de-DE"/>
        </w:rPr>
        <w:commentReference w:id="0"/>
      </w:r>
    </w:p>
    <w:p w14:paraId="79CD4047"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Ein Blick auf die globale CAPEX</w:t>
      </w:r>
      <w:r w:rsidRPr="008B602E">
        <w:rPr>
          <w:rFonts w:ascii="Cambria Math" w:hAnsi="Cambria Math" w:cs="Cambria Math"/>
          <w:kern w:val="2"/>
          <w:lang w:val="de-DE"/>
        </w:rPr>
        <w:t>‑</w:t>
      </w:r>
      <w:r w:rsidRPr="008B602E">
        <w:rPr>
          <w:rFonts w:ascii="Calibri" w:hAnsi="Calibri" w:cs="Calibri"/>
          <w:kern w:val="2"/>
          <w:lang w:val="de-DE"/>
        </w:rPr>
        <w:t>Landkarte macht die Dimension der Verschiebung deutlich: Der asiatisch</w:t>
      </w:r>
      <w:r w:rsidRPr="008B602E">
        <w:rPr>
          <w:rFonts w:ascii="Cambria Math" w:hAnsi="Cambria Math" w:cs="Cambria Math"/>
          <w:kern w:val="2"/>
          <w:lang w:val="de-DE"/>
        </w:rPr>
        <w:t>‑</w:t>
      </w:r>
      <w:r w:rsidRPr="008B602E">
        <w:rPr>
          <w:rFonts w:ascii="Calibri" w:hAnsi="Calibri" w:cs="Calibri"/>
          <w:kern w:val="2"/>
          <w:lang w:val="de-DE"/>
        </w:rPr>
        <w:t>pazifische Raum steht inzwischen für fast zwei Drittel der Petrochemie</w:t>
      </w:r>
      <w:r w:rsidRPr="008B602E">
        <w:rPr>
          <w:rFonts w:ascii="Cambria Math" w:hAnsi="Cambria Math" w:cs="Cambria Math"/>
          <w:kern w:val="2"/>
          <w:lang w:val="de-DE"/>
        </w:rPr>
        <w:t>‑</w:t>
      </w:r>
      <w:r w:rsidRPr="008B602E">
        <w:rPr>
          <w:rFonts w:ascii="Calibri" w:hAnsi="Calibri" w:cs="Calibri"/>
          <w:kern w:val="2"/>
          <w:lang w:val="de-DE"/>
        </w:rPr>
        <w:t>Investitionen, der Nahe Osten für rund ein Viertel. China baut weiter integrierte Verbundstandorte, Indien entwickelt sich vom Zukunftsmarkt zum strategischen Gegengewicht in der globalen Chemielieferkette. Nordamerika kommt auf etwa zehn Prozent, getrieben durch Ethan aus Schiefergas, Reindustrialisierung und die Nachfrage aus Halbleiter</w:t>
      </w:r>
      <w:r w:rsidRPr="008B602E">
        <w:rPr>
          <w:rFonts w:ascii="Cambria Math" w:hAnsi="Cambria Math" w:cs="Cambria Math"/>
          <w:kern w:val="2"/>
          <w:lang w:val="de-DE"/>
        </w:rPr>
        <w:t>‑</w:t>
      </w:r>
      <w:r w:rsidRPr="008B602E">
        <w:rPr>
          <w:rFonts w:ascii="Calibri" w:hAnsi="Calibri" w:cs="Calibri"/>
          <w:kern w:val="2"/>
          <w:lang w:val="de-DE"/>
        </w:rPr>
        <w:t xml:space="preserve"> und KI</w:t>
      </w:r>
      <w:r w:rsidRPr="008B602E">
        <w:rPr>
          <w:rFonts w:ascii="Cambria Math" w:hAnsi="Cambria Math" w:cs="Cambria Math"/>
          <w:kern w:val="2"/>
          <w:lang w:val="de-DE"/>
        </w:rPr>
        <w:t>‑</w:t>
      </w:r>
      <w:r w:rsidRPr="008B602E">
        <w:rPr>
          <w:rFonts w:ascii="Calibri" w:hAnsi="Calibri" w:cs="Calibri"/>
          <w:kern w:val="2"/>
          <w:lang w:val="de-DE"/>
        </w:rPr>
        <w:t>Infrastruktur. Europa liegt bei rund fünf Prozent und verliert klassische Chemiekapazitäten schneller, als neue aufgebaut werden.</w:t>
      </w:r>
    </w:p>
    <w:p w14:paraId="5227E9FD"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Prominente Beispiele dieser Entwicklungen sind der neue BASF</w:t>
      </w:r>
      <w:r w:rsidRPr="008B602E">
        <w:rPr>
          <w:rFonts w:ascii="Cambria Math" w:hAnsi="Cambria Math" w:cs="Cambria Math"/>
          <w:kern w:val="2"/>
          <w:lang w:val="de-DE"/>
        </w:rPr>
        <w:t>‑</w:t>
      </w:r>
      <w:r w:rsidRPr="008B602E">
        <w:rPr>
          <w:rFonts w:ascii="Calibri" w:hAnsi="Calibri" w:cs="Calibri"/>
          <w:kern w:val="2"/>
          <w:lang w:val="de-DE"/>
        </w:rPr>
        <w:t>Verbundstandort im südchinesischen Zhanjiang mit nahezu 9 Mrd. Euro Investitionsvolumen und INEOS Project ONE im belgischen Antwerpen. Letzteres sollte zeigen, dass Großinvestitionen in Europa auch unter hohen Hürden möglich sind: Rund 4 Mrd. Euro fließen in einen Ethan</w:t>
      </w:r>
      <w:r w:rsidRPr="008B602E">
        <w:rPr>
          <w:rFonts w:ascii="Cambria Math" w:hAnsi="Cambria Math" w:cs="Cambria Math"/>
          <w:kern w:val="2"/>
          <w:lang w:val="de-DE"/>
        </w:rPr>
        <w:t>‑</w:t>
      </w:r>
      <w:r w:rsidRPr="008B602E">
        <w:rPr>
          <w:rFonts w:ascii="Calibri" w:hAnsi="Calibri" w:cs="Calibri"/>
          <w:kern w:val="2"/>
          <w:lang w:val="de-DE"/>
        </w:rPr>
        <w:t>Steamcracker, der modular aufgebaut ist und mit Ultra</w:t>
      </w:r>
      <w:r w:rsidRPr="008B602E">
        <w:rPr>
          <w:rFonts w:ascii="Cambria Math" w:hAnsi="Cambria Math" w:cs="Cambria Math"/>
          <w:kern w:val="2"/>
          <w:lang w:val="de-DE"/>
        </w:rPr>
        <w:t>‑</w:t>
      </w:r>
      <w:r w:rsidRPr="008B602E">
        <w:rPr>
          <w:rFonts w:ascii="Calibri" w:hAnsi="Calibri" w:cs="Calibri"/>
          <w:kern w:val="2"/>
          <w:lang w:val="de-DE"/>
        </w:rPr>
        <w:t>Low</w:t>
      </w:r>
      <w:r w:rsidRPr="008B602E">
        <w:rPr>
          <w:rFonts w:ascii="Cambria Math" w:hAnsi="Cambria Math" w:cs="Cambria Math"/>
          <w:kern w:val="2"/>
          <w:lang w:val="de-DE"/>
        </w:rPr>
        <w:t>‑</w:t>
      </w:r>
      <w:r w:rsidRPr="008B602E">
        <w:rPr>
          <w:rFonts w:ascii="Calibri" w:hAnsi="Calibri" w:cs="Calibri"/>
          <w:kern w:val="2"/>
          <w:lang w:val="de-DE"/>
        </w:rPr>
        <w:t>NOx</w:t>
      </w:r>
      <w:r w:rsidRPr="008B602E">
        <w:rPr>
          <w:rFonts w:ascii="Cambria Math" w:hAnsi="Cambria Math" w:cs="Cambria Math"/>
          <w:kern w:val="2"/>
          <w:lang w:val="de-DE"/>
        </w:rPr>
        <w:t>‑</w:t>
      </w:r>
      <w:r w:rsidRPr="008B602E">
        <w:rPr>
          <w:rFonts w:ascii="Calibri" w:hAnsi="Calibri" w:cs="Calibri"/>
          <w:kern w:val="2"/>
          <w:lang w:val="de-DE"/>
        </w:rPr>
        <w:t>Brennern, Wasserstoffbefeuerung, CCS</w:t>
      </w:r>
      <w:r w:rsidRPr="008B602E">
        <w:rPr>
          <w:rFonts w:ascii="Cambria Math" w:hAnsi="Cambria Math" w:cs="Cambria Math"/>
          <w:kern w:val="2"/>
          <w:lang w:val="de-DE"/>
        </w:rPr>
        <w:t>‑</w:t>
      </w:r>
      <w:r w:rsidRPr="008B602E">
        <w:rPr>
          <w:rFonts w:ascii="Calibri" w:hAnsi="Calibri" w:cs="Calibri"/>
          <w:kern w:val="2"/>
          <w:lang w:val="de-DE"/>
        </w:rPr>
        <w:t xml:space="preserve">Optionen und </w:t>
      </w:r>
      <w:r w:rsidRPr="008B602E">
        <w:rPr>
          <w:rFonts w:ascii="Calibri" w:hAnsi="Calibri" w:cs="Calibri"/>
          <w:kern w:val="2"/>
          <w:lang w:val="de-DE"/>
        </w:rPr>
        <w:lastRenderedPageBreak/>
        <w:t>Vorbereitungen für eine spätere Elektrifizierung auf einen möglichst niedrigen CO₂</w:t>
      </w:r>
      <w:r w:rsidRPr="008B602E">
        <w:rPr>
          <w:rFonts w:ascii="Cambria Math" w:hAnsi="Cambria Math" w:cs="Cambria Math"/>
          <w:kern w:val="2"/>
          <w:lang w:val="de-DE"/>
        </w:rPr>
        <w:t>‑</w:t>
      </w:r>
      <w:r w:rsidRPr="008B602E">
        <w:rPr>
          <w:rFonts w:ascii="Calibri" w:hAnsi="Calibri" w:cs="Calibri"/>
          <w:kern w:val="2"/>
          <w:lang w:val="de-DE"/>
        </w:rPr>
        <w:t>Fußabdruck zielt. INEOS-Gründer und -Vorstandsvorsitzender Jim Ratcliffe warnt jedoch offen vor „nicht überlebensfähigen Bedingungen“ für die europäische Chemie, verweist auf geschlossene Standorte, verlorene Kapazitäten sowie steigende Energie</w:t>
      </w:r>
      <w:r w:rsidRPr="008B602E">
        <w:rPr>
          <w:rFonts w:ascii="Cambria Math" w:hAnsi="Cambria Math" w:cs="Cambria Math"/>
          <w:kern w:val="2"/>
          <w:lang w:val="de-DE"/>
        </w:rPr>
        <w:t>‑</w:t>
      </w:r>
      <w:r w:rsidRPr="008B602E">
        <w:rPr>
          <w:rFonts w:ascii="Calibri" w:hAnsi="Calibri" w:cs="Calibri"/>
          <w:kern w:val="2"/>
          <w:lang w:val="de-DE"/>
        </w:rPr>
        <w:t xml:space="preserve"> und CO₂</w:t>
      </w:r>
      <w:r w:rsidRPr="008B602E">
        <w:rPr>
          <w:rFonts w:ascii="Cambria Math" w:hAnsi="Cambria Math" w:cs="Cambria Math"/>
          <w:kern w:val="2"/>
          <w:lang w:val="de-DE"/>
        </w:rPr>
        <w:t>‑</w:t>
      </w:r>
      <w:r w:rsidRPr="008B602E">
        <w:rPr>
          <w:rFonts w:ascii="Calibri" w:hAnsi="Calibri" w:cs="Calibri"/>
          <w:kern w:val="2"/>
          <w:lang w:val="de-DE"/>
        </w:rPr>
        <w:t>Kosten. Project ONE wirkt damit eher wie ein Beleg dafür, wie schwer sich neue Basischemie</w:t>
      </w:r>
      <w:r w:rsidRPr="008B602E">
        <w:rPr>
          <w:rFonts w:ascii="Cambria Math" w:hAnsi="Cambria Math" w:cs="Cambria Math"/>
          <w:kern w:val="2"/>
          <w:lang w:val="de-DE"/>
        </w:rPr>
        <w:t>‑</w:t>
      </w:r>
      <w:r w:rsidRPr="008B602E">
        <w:rPr>
          <w:rFonts w:ascii="Calibri" w:hAnsi="Calibri" w:cs="Calibri"/>
          <w:kern w:val="2"/>
          <w:lang w:val="de-DE"/>
        </w:rPr>
        <w:t>Großprojekte in Europa realisieren lassen. Und auch für den neuen BASF</w:t>
      </w:r>
      <w:r w:rsidRPr="008B602E">
        <w:rPr>
          <w:rFonts w:ascii="Cambria Math" w:hAnsi="Cambria Math" w:cs="Cambria Math"/>
          <w:kern w:val="2"/>
          <w:lang w:val="de-DE"/>
        </w:rPr>
        <w:t>‑</w:t>
      </w:r>
      <w:r w:rsidRPr="008B602E">
        <w:rPr>
          <w:rFonts w:ascii="Calibri" w:hAnsi="Calibri" w:cs="Calibri"/>
          <w:kern w:val="2"/>
          <w:lang w:val="de-DE"/>
        </w:rPr>
        <w:t>Standort sind die Rahmenbedingungen derzeit alles andere als günstig: Kurzfristig trifft die Anlage auf einen von Überkapazitäten und Margendruck geprägten chinesischen Markt – ein Hinweis darauf, dass Europas Probleme nicht einfach durch Verlagerung nach Asien gelöst werden, sondern dass Standort</w:t>
      </w:r>
      <w:r w:rsidRPr="008B602E">
        <w:rPr>
          <w:rFonts w:ascii="Cambria Math" w:hAnsi="Cambria Math" w:cs="Cambria Math"/>
          <w:kern w:val="2"/>
          <w:lang w:val="de-DE"/>
        </w:rPr>
        <w:t>‑</w:t>
      </w:r>
      <w:r w:rsidRPr="008B602E">
        <w:rPr>
          <w:rFonts w:ascii="Calibri" w:hAnsi="Calibri" w:cs="Calibri"/>
          <w:kern w:val="2"/>
          <w:lang w:val="de-DE"/>
        </w:rPr>
        <w:t xml:space="preserve"> und Technologiewetten auch dort höhere Risiken tragen.</w:t>
      </w:r>
    </w:p>
    <w:p w14:paraId="60487509"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Konflikte und Spannungen im Nahen Osten überlagern den Kontinental</w:t>
      </w:r>
      <w:r w:rsidRPr="008B602E">
        <w:rPr>
          <w:rFonts w:ascii="Cambria Math" w:hAnsi="Cambria Math" w:cs="Cambria Math"/>
          <w:kern w:val="2"/>
          <w:lang w:val="de-DE"/>
        </w:rPr>
        <w:t>‑</w:t>
      </w:r>
      <w:r w:rsidRPr="008B602E">
        <w:rPr>
          <w:rFonts w:ascii="Calibri" w:hAnsi="Calibri" w:cs="Calibri"/>
          <w:kern w:val="2"/>
          <w:lang w:val="de-DE"/>
        </w:rPr>
        <w:t>Drift der CAPEX</w:t>
      </w:r>
      <w:r w:rsidRPr="008B602E">
        <w:rPr>
          <w:rFonts w:ascii="Cambria Math" w:hAnsi="Cambria Math" w:cs="Cambria Math"/>
          <w:kern w:val="2"/>
          <w:lang w:val="de-DE"/>
        </w:rPr>
        <w:t>‑</w:t>
      </w:r>
      <w:r w:rsidRPr="008B602E">
        <w:rPr>
          <w:rFonts w:ascii="Calibri" w:hAnsi="Calibri" w:cs="Calibri"/>
          <w:kern w:val="2"/>
          <w:lang w:val="de-DE"/>
        </w:rPr>
        <w:t>Landkarte zusätzlich. Sie machen deutlich, dass physische Sicherheit, Redundanz und Versicherbarkeit von Anlagen wieder zentrale Kriterien für Standort</w:t>
      </w:r>
      <w:r w:rsidRPr="008B602E">
        <w:rPr>
          <w:rFonts w:ascii="Cambria Math" w:hAnsi="Cambria Math" w:cs="Cambria Math"/>
          <w:kern w:val="2"/>
          <w:lang w:val="de-DE"/>
        </w:rPr>
        <w:t>‑</w:t>
      </w:r>
      <w:r w:rsidRPr="008B602E">
        <w:rPr>
          <w:rFonts w:ascii="Calibri" w:hAnsi="Calibri" w:cs="Calibri"/>
          <w:kern w:val="2"/>
          <w:lang w:val="de-DE"/>
        </w:rPr>
        <w:t xml:space="preserve"> und Projektentscheidungen sind. </w:t>
      </w:r>
      <w:commentRangeStart w:id="1"/>
      <w:r w:rsidRPr="008B602E">
        <w:rPr>
          <w:rFonts w:ascii="Calibri" w:hAnsi="Calibri" w:cs="Calibri"/>
          <w:b/>
          <w:bCs/>
          <w:i/>
          <w:iCs/>
          <w:kern w:val="2"/>
          <w:lang w:val="de-DE"/>
        </w:rPr>
        <w:t>Für den Chemieanlagenbau heißt das: Neben dem Ausbau an Rohstoffstandorten gewinnen Resilienz, Härtung kritischer Infrastruktur und Konzepte für schnelle Wiederanfahrbarkeit an Bedeutung – ebenso wie die gezielte Überprüfung von Lieferketten für kritische Komponenten wie Speziallegierungen, Kompressoren und Prozessventile, deren Verfügbarkeit zunehmend von geopolitischen Faktoren abhängt.</w:t>
      </w:r>
      <w:commentRangeEnd w:id="1"/>
      <w:r w:rsidR="00845B95" w:rsidRPr="008B602E">
        <w:rPr>
          <w:rStyle w:val="Kommentarzeichen"/>
          <w:rFonts w:ascii="Calibri" w:eastAsia="Arial Narrow" w:hAnsi="Calibri" w:cs="Calibri"/>
          <w:kern w:val="2"/>
          <w:sz w:val="24"/>
          <w:szCs w:val="24"/>
          <w:lang w:val="de-DE"/>
        </w:rPr>
        <w:commentReference w:id="1"/>
      </w:r>
    </w:p>
    <w:p w14:paraId="56BECA36"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Was insgesamt wie ein regionales Ungleichgewicht aussieht, folgt einer harten ökonomischen Logik: Neue Großanlagen entstehen dort, wo Energie und Rohstoffe langfristig verfügbar sind. So steigert Qatar Energy seine LNG-Exportkapazität von 77 auf 142 Mio. t/a. Das North-Field-West-Projekt mit zwei LNG-Megatrains à 8 Mio. t/a ging an ein Konsortium unter Führung von Technip Energies. Bemerkenswert ist nicht nur die Größe, sondern auch die Auslegung: Jeder Train integriert die Abscheidung und Speicherung von Kohlendioxid (CCS) im Millionen-Tonnen-Maßstab. CCS ist hier kein Klimabekenntnis, sondern eine Spezifikation des Geschäftsmodells. LNG mit niedrigerem CO₂-Fußabdruck erzielt höhere Preise und stärkt die Marktposition in einem Umfeld, in dem Versorgungssicherheit und Emissionsbilanz gleichzeitig zählen. Für den Anlagenbau ist das ein Signal: Carbon Management wandert aus der Förderkulisse in die Spezifikation von Megaprojekten.</w:t>
      </w:r>
    </w:p>
    <w:p w14:paraId="706061B1"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Ähnlich deutlich ist die Entwicklung in Saudi-Arabien. Der Amiral-Komplex in Jubail – rund 11 Mrd. US-Dollar Investitionsvolumen – zeigt, wie Saudi Aramco und TotalEnergies petrochemische Wertschöpfung systematisch ausbauen. Das Projekt ist, genauso wie die Erweiterung des Fadhili-Gaskomplexes, Teil einer langfristigen Strategie: Rohöl und Erdgas sollen nicht nur exportiert, sondern zu Chemieprodukten veredelt werden.</w:t>
      </w:r>
    </w:p>
    <w:p w14:paraId="3C90A89B"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Indien ist die zweite große Wachstumsstory. Die Volkswirtschaft wächst schneller als die meisten anderen G20</w:t>
      </w:r>
      <w:r w:rsidRPr="008B602E">
        <w:rPr>
          <w:rFonts w:ascii="Cambria Math" w:hAnsi="Cambria Math" w:cs="Cambria Math"/>
          <w:kern w:val="2"/>
          <w:lang w:val="de-DE"/>
        </w:rPr>
        <w:t>‑</w:t>
      </w:r>
      <w:r w:rsidRPr="008B602E">
        <w:rPr>
          <w:rFonts w:ascii="Calibri" w:hAnsi="Calibri" w:cs="Calibri"/>
          <w:kern w:val="2"/>
          <w:lang w:val="de-DE"/>
        </w:rPr>
        <w:t>Länder, die Binnennachfrage nach Kunststoffen, Düngemitteln und Spezialchemikalien steigt rasant. Gleichzeitig profitiert der Standort massiv von der globalen „China</w:t>
      </w:r>
      <w:r w:rsidRPr="008B602E">
        <w:rPr>
          <w:rFonts w:ascii="Cambria Math" w:hAnsi="Cambria Math" w:cs="Cambria Math"/>
          <w:kern w:val="2"/>
          <w:lang w:val="de-DE"/>
        </w:rPr>
        <w:t>‑</w:t>
      </w:r>
      <w:r w:rsidRPr="008B602E">
        <w:rPr>
          <w:rFonts w:ascii="Calibri" w:hAnsi="Calibri" w:cs="Calibri"/>
          <w:kern w:val="2"/>
          <w:lang w:val="de-DE"/>
        </w:rPr>
        <w:t>Plus</w:t>
      </w:r>
      <w:r w:rsidRPr="008B602E">
        <w:rPr>
          <w:rFonts w:ascii="Cambria Math" w:hAnsi="Cambria Math" w:cs="Cambria Math"/>
          <w:kern w:val="2"/>
          <w:lang w:val="de-DE"/>
        </w:rPr>
        <w:t>‑</w:t>
      </w:r>
      <w:r w:rsidRPr="008B602E">
        <w:rPr>
          <w:rFonts w:ascii="Calibri" w:hAnsi="Calibri" w:cs="Calibri"/>
          <w:kern w:val="2"/>
          <w:lang w:val="de-DE"/>
        </w:rPr>
        <w:t xml:space="preserve">One“-Strategie: Internationale Konzerne suchen aktiv nach Möglichkeiten, ihre Lieferketten zu diversifizieren und geopolitische Abhängigkeiten von China zu reduzieren, ohne den asiatischen Wachstumsmarkt zu verlassen. Staatliche Förderprogramme, wettbewerbsfähige Arbeitskosten und der klare politische Wille, Indien als globales Gegengewicht zu etablieren, </w:t>
      </w:r>
      <w:r w:rsidRPr="008B602E">
        <w:rPr>
          <w:rFonts w:ascii="Calibri" w:hAnsi="Calibri" w:cs="Calibri"/>
          <w:kern w:val="2"/>
          <w:lang w:val="de-DE"/>
        </w:rPr>
        <w:lastRenderedPageBreak/>
        <w:t>machen das Land für den Chemieanlagenbau zu einem der wichtigsten Märkte der kommenden Jahre. Die indische Chemieindustrie hat heute ein Volumen von rund 220 Mrd. US</w:t>
      </w:r>
      <w:r w:rsidRPr="008B602E">
        <w:rPr>
          <w:rFonts w:ascii="Cambria Math" w:hAnsi="Cambria Math" w:cs="Cambria Math"/>
          <w:kern w:val="2"/>
          <w:lang w:val="de-DE"/>
        </w:rPr>
        <w:t>‑</w:t>
      </w:r>
      <w:r w:rsidRPr="008B602E">
        <w:rPr>
          <w:rFonts w:ascii="Calibri" w:hAnsi="Calibri" w:cs="Calibri"/>
          <w:kern w:val="2"/>
          <w:lang w:val="de-DE"/>
        </w:rPr>
        <w:t>Dollar und soll langfristig die Billionengrenze erreichen.</w:t>
      </w:r>
    </w:p>
    <w:p w14:paraId="14A10BF7"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Nordamerika folgt einer anderen Logik. Schiefergas bleibt ein Standortvorteil, doch die neuen Impulse kommen aus Reindustrialisierung, Chips und KI. Rechenzentren benötigen Strom, Kühlung und Netzinfrastruktur in einem Umfang, der neue Kraftwerks- und Utility-Projekte auslöst. Halbleiterfabriken brauchen Reinstgase, ultrareine Lösungsmittel und Spezialchemikalien. Für Anlagenbauer entstehen daraus Aufträge, die weniger spektakulär wirken als ein LNG-Megatrain, aber technologisch anspruchsvoll und politisch gut abgesichert sind.</w:t>
      </w:r>
    </w:p>
    <w:p w14:paraId="0154CB6A" w14:textId="77777777" w:rsidR="00D33309" w:rsidRPr="00AC0074"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28"/>
          <w:szCs w:val="28"/>
          <w:lang w:val="de-DE"/>
        </w:rPr>
      </w:pPr>
      <w:r w:rsidRPr="00AC0074">
        <w:rPr>
          <w:rFonts w:ascii="Calibri" w:hAnsi="Calibri" w:cs="Calibri"/>
          <w:b/>
          <w:bCs/>
          <w:kern w:val="2"/>
          <w:sz w:val="28"/>
          <w:szCs w:val="28"/>
          <w:lang w:val="de-DE"/>
        </w:rPr>
        <w:t>Die großen EPC-Anbieter schärfen ihre Profile</w:t>
      </w:r>
    </w:p>
    <w:p w14:paraId="2D0C5C54" w14:textId="77777777" w:rsidR="00D33309"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kern w:val="2"/>
          <w:lang w:val="de-DE"/>
        </w:rPr>
      </w:pPr>
      <w:r w:rsidRPr="008B602E">
        <w:rPr>
          <w:rFonts w:ascii="Calibri" w:hAnsi="Calibri" w:cs="Calibri"/>
          <w:kern w:val="2"/>
          <w:lang w:val="de-DE"/>
        </w:rPr>
        <w:t xml:space="preserve">Die globalen EPC-Unternehmen reagieren auf diese neue Kapitalgeographie nicht mit breiter Marktbearbeitung, sondern mit Schärfung. Technologiezugang, Front-End-Kompetenz und Risikodisziplin werden wichtiger als reine Baukapazität. Wer das FEED, die Prozesslizenz und den Engineering-Stack kontrolliert, sitzt beim EPC-Folgeauftrag in der Poleposition. </w:t>
      </w:r>
      <w:commentRangeStart w:id="2"/>
      <w:r w:rsidRPr="008B602E">
        <w:rPr>
          <w:rFonts w:ascii="Calibri" w:hAnsi="Calibri" w:cs="Calibri"/>
          <w:b/>
          <w:bCs/>
          <w:i/>
          <w:iCs/>
          <w:kern w:val="2"/>
          <w:lang w:val="de-DE"/>
        </w:rPr>
        <w:t>Der Markt ist entsprechend groß: Allein im Öl- und Gasbereich wird das weltweite EPC-Volumen für 2025 auf rund 55 bis 60 Mrd. US</w:t>
      </w:r>
      <w:r w:rsidRPr="008B602E">
        <w:rPr>
          <w:rFonts w:ascii="Cambria Math" w:hAnsi="Cambria Math" w:cs="Cambria Math"/>
          <w:b/>
          <w:bCs/>
          <w:i/>
          <w:iCs/>
          <w:kern w:val="2"/>
          <w:lang w:val="de-DE"/>
        </w:rPr>
        <w:t>‑</w:t>
      </w:r>
      <w:r w:rsidRPr="008B602E">
        <w:rPr>
          <w:rFonts w:ascii="Calibri" w:hAnsi="Calibri" w:cs="Calibri"/>
          <w:b/>
          <w:bCs/>
          <w:i/>
          <w:iCs/>
          <w:kern w:val="2"/>
          <w:lang w:val="de-DE"/>
        </w:rPr>
        <w:t>Dollar geschätzt, der gesamte EPC</w:t>
      </w:r>
      <w:r w:rsidRPr="008B602E">
        <w:rPr>
          <w:rFonts w:ascii="Cambria Math" w:hAnsi="Cambria Math" w:cs="Cambria Math"/>
          <w:b/>
          <w:bCs/>
          <w:i/>
          <w:iCs/>
          <w:kern w:val="2"/>
          <w:lang w:val="de-DE"/>
        </w:rPr>
        <w:t>‑</w:t>
      </w:r>
      <w:r w:rsidRPr="008B602E">
        <w:rPr>
          <w:rFonts w:ascii="Calibri" w:hAnsi="Calibri" w:cs="Calibri"/>
          <w:b/>
          <w:bCs/>
          <w:i/>
          <w:iCs/>
          <w:kern w:val="2"/>
          <w:lang w:val="de-DE"/>
        </w:rPr>
        <w:t>Markt über alle Branchen hinweg liegt deutlich im dreistelligen Milliardenbereich.</w:t>
      </w:r>
      <w:r w:rsidRPr="008B602E">
        <w:rPr>
          <w:rFonts w:ascii="Calibri" w:hAnsi="Calibri" w:cs="Calibri"/>
          <w:kern w:val="2"/>
          <w:lang w:val="de-DE"/>
        </w:rPr>
        <w:t xml:space="preserve"> </w:t>
      </w:r>
      <w:commentRangeEnd w:id="2"/>
      <w:r w:rsidR="00845B95" w:rsidRPr="008B602E">
        <w:rPr>
          <w:rStyle w:val="Kommentarzeichen"/>
          <w:rFonts w:ascii="Calibri" w:hAnsi="Calibri" w:cs="Calibri"/>
          <w:kern w:val="2"/>
          <w:sz w:val="24"/>
          <w:szCs w:val="24"/>
          <w:lang w:val="de-DE"/>
        </w:rPr>
        <w:commentReference w:id="2"/>
      </w:r>
      <w:r w:rsidRPr="008B602E">
        <w:rPr>
          <w:rFonts w:ascii="Calibri" w:hAnsi="Calibri" w:cs="Calibri"/>
          <w:kern w:val="2"/>
          <w:lang w:val="de-DE"/>
        </w:rPr>
        <w:t>Die führenden internationalen EPC-Konzerne – etwa Bechtel, Fluor, Technip, Saipem oder Worley – erzielen jeweils Jahresumsätze im hohen einstelligen bis mittleren zweistelligen Milliardenbereich und sind an einem Großteil der Megaprojekte in LNG, Raffinerie, Chemie und Energie beteiligt.</w:t>
      </w:r>
    </w:p>
    <w:p w14:paraId="5D47FF00" w14:textId="110A9565" w:rsidR="00E06C76" w:rsidRPr="008B602E" w:rsidRDefault="00E06C7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45B95">
        <w:rPr>
          <w:rFonts w:ascii="Calibri" w:hAnsi="Calibri" w:cs="Calibri"/>
          <w:kern w:val="2"/>
          <w:highlight w:val="yellow"/>
          <w:lang w:val="de-DE"/>
        </w:rPr>
        <w:t>BILD</w:t>
      </w:r>
      <w:r w:rsidR="00845B95">
        <w:rPr>
          <w:rFonts w:ascii="Calibri" w:hAnsi="Calibri" w:cs="Calibri"/>
          <w:kern w:val="2"/>
          <w:highlight w:val="yellow"/>
          <w:lang w:val="de-DE"/>
        </w:rPr>
        <w:t xml:space="preserve"> einsetzen</w:t>
      </w:r>
      <w:r w:rsidR="00845B95" w:rsidRPr="00845B95">
        <w:rPr>
          <w:rFonts w:ascii="Calibri" w:hAnsi="Calibri" w:cs="Calibri"/>
          <w:kern w:val="2"/>
          <w:highlight w:val="yellow"/>
          <w:lang w:val="de-DE"/>
        </w:rPr>
        <w:t xml:space="preserve">: </w:t>
      </w:r>
      <w:r w:rsidR="00845B95" w:rsidRPr="00845B95">
        <w:rPr>
          <w:rFonts w:ascii="Calibri" w:hAnsi="Calibri" w:cs="Calibri"/>
          <w:kern w:val="2"/>
          <w:highlight w:val="yellow"/>
          <w:lang w:val="de-DE"/>
        </w:rPr>
        <w:t>shutterstock_2240500803_Aerial-motion_Bild zwei</w:t>
      </w:r>
    </w:p>
    <w:p w14:paraId="4E3ECC8C"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Technip Energies ist dafür ein eindrucksvolles Beispiel. Seit der Abspaltung von TechnipFMC verfolgt das Unternehmen konsequent die Strategie „Technologie plus EPC“. Für 2026 erwartet der Anlagenbauer den höchsten Auftragseingang seiner Geschichte. LNG bleibt ein Kernfeld, nachhaltige Kraftstoffe und Katalysatoren kommen hinzu. Strategische Übernahmen stärken das Portfolio. Wer Technologie liefert, öffnet die Tür zum Großprojekt. Auch Linde Engineering und thyssenkrupp Uhde agieren technologiegetrieben: Sie verbinden eigene Verfahren für Wasserstoff, Ammoniak und nachhaltige Basischemikalien direkt mit EPC-Kompetenz.</w:t>
      </w:r>
    </w:p>
    <w:p w14:paraId="5A39E785"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Samsung E&amp;A setzt stärker auf regionale Tiefe. Der Fokus liegt auf Nahost und Asien, mit zahlreichen Referenzen in Saudi-Arabien, Katar und bei PDH/PP-Anlagen. Das Prinzip ist einfach: Wer Standort, Kunde, Behörden und technische Vorgeschichte kennt, senkt Projektrisiken und erhöht die Chance auf den EPC-Auftrag. Beim Ras Laffan Petrochemical Complex in Katar ist Samsung E&amp;A gemeinsam mit CTCI an einem der größten Ethenprojekte der Region beteiligt. Asiatische Wettbewerber wie Hyundai Engineering &amp; Construction treiben parallel Crude-to-Chemicals-Großprojekte wie das Shaheen-Projekt von S-Oil im südkoreanischen Ulsan voran und übertragen dieses Know-how auf Aramco-Programme wie Amiral – damit verschiebt sich ein wachsender Teil des EPC-Know-hows für Raffinerie-zu-Petrochemie-Projekte nach Ostasien.</w:t>
      </w:r>
    </w:p>
    <w:p w14:paraId="7A73B493"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 xml:space="preserve">Worley hat Nachhaltigkeit zum Geschäftsmodell gemacht: Offshore-Wind, grüner Wasserstoff, CCUS, Batteriespeicher und Elektrifizierung. Entscheidend ist: Diese Nachfrage kommt, wie bereits </w:t>
      </w:r>
      <w:r w:rsidRPr="008B602E">
        <w:rPr>
          <w:rFonts w:ascii="Calibri" w:hAnsi="Calibri" w:cs="Calibri"/>
          <w:kern w:val="2"/>
          <w:lang w:val="de-DE"/>
        </w:rPr>
        <w:lastRenderedPageBreak/>
        <w:t>oben gezeigt, längst nicht mehr nur aus Europa. Nachhaltigkeit ist damit nicht mehr bloß Regulierungsthema, sondern Marktanforderung.</w:t>
      </w:r>
    </w:p>
    <w:p w14:paraId="43E374BF"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 xml:space="preserve">KBR und Fluor zeigen die zweite Lehre der vergangenen Jahre: Risiko wird neu verteilt. Fluor hat den Anteil der Aufträge, die nach Aufwand (reimbursable) abgerechnet werden, nach eigenen Angaben auf 87 % erhöht. </w:t>
      </w:r>
      <w:commentRangeStart w:id="3"/>
      <w:r w:rsidRPr="008B602E">
        <w:rPr>
          <w:rFonts w:ascii="Calibri" w:hAnsi="Calibri" w:cs="Calibri"/>
          <w:b/>
          <w:bCs/>
          <w:i/>
          <w:iCs/>
          <w:kern w:val="2"/>
          <w:lang w:val="de-DE"/>
        </w:rPr>
        <w:t>Festpreisverträge verlieren im Großanlagenbau an Attraktivität, weil sich Materialpreise, Lieferketten, Baupersonal und geopolitische Risiken kaum noch zuverlässig kalkulieren lassen. Für Auftraggeber bedeutet das mehr Kostenverantwortung – und höhere Ansprüche an ein sauberes Front-End-Engineering.</w:t>
      </w:r>
      <w:r w:rsidRPr="008B602E">
        <w:rPr>
          <w:rFonts w:ascii="Calibri" w:hAnsi="Calibri" w:cs="Calibri"/>
          <w:kern w:val="2"/>
          <w:lang w:val="de-DE"/>
        </w:rPr>
        <w:t xml:space="preserve"> </w:t>
      </w:r>
      <w:commentRangeEnd w:id="3"/>
      <w:r w:rsidR="00845B95" w:rsidRPr="008B602E">
        <w:rPr>
          <w:rStyle w:val="Kommentarzeichen"/>
          <w:rFonts w:ascii="Calibri" w:hAnsi="Calibri" w:cs="Calibri"/>
          <w:kern w:val="2"/>
          <w:sz w:val="24"/>
          <w:szCs w:val="24"/>
          <w:lang w:val="de-DE"/>
        </w:rPr>
        <w:commentReference w:id="3"/>
      </w:r>
      <w:r w:rsidRPr="008B602E">
        <w:rPr>
          <w:rFonts w:ascii="Calibri" w:hAnsi="Calibri" w:cs="Calibri"/>
          <w:kern w:val="2"/>
          <w:lang w:val="de-DE"/>
        </w:rPr>
        <w:t>Sauber heißt in diesem Kontext: belastbare Kosten- und Terminabschätzungen bereits in frühen Projektphasen, ein klar definierter Scope, konsistente Daten und Schnittstellen sowie Variantenvergleiche, die spätere Änderungen minimieren. Ein gut ausgearbeitetes FEED reduziert teure Änderungen im Detail-Engineering und auf der Baustelle, verkürzt Entscheidungswege und schafft die Grundlage für verlässliche Vergabe- und Finanzierungsentscheidungen. Unternehmen, die hier stark sind, erzielen im Schnitt höhere Margen – weil sie Risiken besser bepreisen, Claims sauberer managen und weniger unproduktiven Aufwand in Nacharbeiten stecken müssen. Schlecht vorbereitete Projekte werden teurer. Auch Saipem folgt diesem Muster: weniger Festpreis-Onshore, mehr Offshore-Gas, Services und Margendisziplin statt Wachstum um jeden Preis.</w:t>
      </w:r>
    </w:p>
    <w:p w14:paraId="08029B48" w14:textId="77777777" w:rsidR="00D33309" w:rsidRPr="00AC0074"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b/>
          <w:bCs/>
          <w:kern w:val="2"/>
          <w:sz w:val="28"/>
          <w:szCs w:val="28"/>
          <w:lang w:val="de-DE"/>
        </w:rPr>
      </w:pPr>
      <w:r w:rsidRPr="00AC0074">
        <w:rPr>
          <w:rFonts w:ascii="Calibri" w:hAnsi="Calibri" w:cs="Calibri"/>
          <w:b/>
          <w:bCs/>
          <w:kern w:val="2"/>
          <w:sz w:val="28"/>
          <w:szCs w:val="28"/>
          <w:lang w:val="de-DE"/>
        </w:rPr>
        <w:t>Fazit: Kapitalgeografie als Stresstest für den Anlagenbau</w:t>
      </w:r>
    </w:p>
    <w:p w14:paraId="670BCF1A"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Der Chemieanlagenbau steckt nicht in der Krise, sondern in einer Neuordnung: Investitionen wandern an Rohstoff- und Energie-Hubs, während Europa vom Kernmarkt zum Selektivstandort für besonders effiziente, regulierungsintensive Projekte wird. In Katar, Saudi-Arabien, Indien und Nordamerika entstehen die Großprojekte, die den nächsten Investitionszyklus prägen – häufig verknüpft mit Gas, CCS und petrochemischer Wertschöpfung, aber unter deutlich höheren Anforderungen an Sicherheit und Resilienz.</w:t>
      </w:r>
    </w:p>
    <w:p w14:paraId="4B151041"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 xml:space="preserve">Für die großen EPC-Anbieter ist die neue Landkarte ein Stresstest: Wer Technologiezugang, Front-End-Kompetenz, regionale Tiefe und saubere Risikostrukturen kombiniert, kann auch in dieser Verschiebung wachsen; wer sich auf Bauvolumen und Lump-Sum-Verträge verlässt, gerät unter Druck. </w:t>
      </w:r>
      <w:commentRangeStart w:id="4"/>
      <w:r w:rsidRPr="00CE664A">
        <w:rPr>
          <w:rFonts w:ascii="Calibri" w:hAnsi="Calibri" w:cs="Calibri"/>
          <w:b/>
          <w:bCs/>
          <w:i/>
          <w:iCs/>
          <w:kern w:val="2"/>
          <w:lang w:val="de-DE"/>
        </w:rPr>
        <w:t>Die eigentliche Frage der kommenden Jahre lautet daher nicht, ob im Chemieanlagenbau noch investiert wird – sondern welche Standorte und Partner die Projekte erhalten, die in einer riskanteren, teureren und politisch verminteren Welt noch gebaut werden.</w:t>
      </w:r>
      <w:commentRangeEnd w:id="4"/>
      <w:r w:rsidR="00845B95" w:rsidRPr="008B602E">
        <w:rPr>
          <w:rStyle w:val="Kommentarzeichen"/>
          <w:rFonts w:ascii="Calibri" w:eastAsia="Arial Narrow" w:hAnsi="Calibri" w:cs="Calibri"/>
          <w:kern w:val="2"/>
          <w:sz w:val="24"/>
          <w:szCs w:val="24"/>
          <w:lang w:val="de-DE"/>
        </w:rPr>
        <w:commentReference w:id="4"/>
      </w:r>
    </w:p>
    <w:p w14:paraId="021D7877"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 xml:space="preserve">Die neue Landkarte des Chemieanlagenbaus beantwortet damit die Frage, wo investiert wird – offen bleibt, wie die Branche unter diesen Bedingungen dekarbonisieren, Projekte finanzierbar machen und knappe Ressourcen produktiv einsetzen kann. </w:t>
      </w:r>
      <w:commentRangeStart w:id="5"/>
      <w:r w:rsidRPr="008B602E">
        <w:rPr>
          <w:rFonts w:ascii="Calibri" w:hAnsi="Calibri" w:cs="Calibri"/>
          <w:kern w:val="2"/>
          <w:highlight w:val="yellow"/>
          <w:lang w:val="de-DE"/>
        </w:rPr>
        <w:t>Darum geht es im zweiten Teil dieses Trendberichts.</w:t>
      </w:r>
      <w:commentRangeEnd w:id="5"/>
      <w:r w:rsidR="00845B95" w:rsidRPr="008B602E">
        <w:rPr>
          <w:rStyle w:val="Kommentarzeichen"/>
          <w:rFonts w:ascii="Calibri" w:eastAsia="Arial Narrow" w:hAnsi="Calibri" w:cs="Calibri"/>
          <w:kern w:val="2"/>
          <w:sz w:val="24"/>
          <w:szCs w:val="24"/>
          <w:lang w:val="de-DE"/>
        </w:rPr>
        <w:commentReference w:id="5"/>
      </w:r>
    </w:p>
    <w:p w14:paraId="3FA32175" w14:textId="77777777" w:rsidR="00D33309" w:rsidRPr="008B602E" w:rsidRDefault="00D3330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p>
    <w:p w14:paraId="70475022"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eastAsia="Arial Narrow" w:hAnsi="Calibri" w:cs="Calibri"/>
          <w:kern w:val="2"/>
          <w:lang w:val="de-DE"/>
        </w:rPr>
      </w:pPr>
      <w:r w:rsidRPr="008B602E">
        <w:rPr>
          <w:rFonts w:ascii="Calibri" w:hAnsi="Calibri" w:cs="Calibri"/>
          <w:kern w:val="2"/>
          <w:lang w:val="de-DE"/>
        </w:rPr>
        <w:t>Der Autor: Armin Scheuermann, Chemieingenieur und freier Fachjournalist</w:t>
      </w:r>
    </w:p>
    <w:p w14:paraId="7ADA15E5" w14:textId="77777777" w:rsidR="00D33309" w:rsidRPr="008B602E" w:rsidRDefault="00D33309">
      <w:pPr>
        <w:suppressAutoHyphens/>
        <w:rPr>
          <w:rFonts w:ascii="Calibri" w:eastAsia="Arial Narrow" w:hAnsi="Calibri" w:cs="Calibri"/>
          <w:kern w:val="2"/>
          <w:lang w:val="de-DE"/>
        </w:rPr>
      </w:pPr>
    </w:p>
    <w:p w14:paraId="1B86E19D" w14:textId="77777777" w:rsidR="00D33309" w:rsidRPr="008B602E" w:rsidRDefault="009604AC">
      <w:pPr>
        <w:suppressAutoHyphens/>
        <w:rPr>
          <w:rFonts w:ascii="Calibri" w:eastAsia="Arial Narrow" w:hAnsi="Calibri" w:cs="Calibri"/>
          <w:i/>
          <w:iCs/>
          <w:kern w:val="2"/>
          <w:lang w:val="de-DE"/>
        </w:rPr>
      </w:pPr>
      <w:r w:rsidRPr="008B602E">
        <w:rPr>
          <w:rFonts w:ascii="Calibri" w:hAnsi="Calibri" w:cs="Calibri"/>
          <w:i/>
          <w:iCs/>
          <w:kern w:val="2"/>
          <w:lang w:val="de-DE"/>
        </w:rPr>
        <w:t>Wie der Chemieanlagenbau auf diese neue Landkarte technologisch und organisatorisch reagiert – von Dekarbonisierung und CCS über Kooperationen bis hin zu KI, Datenplattformen und Produktivitätssprüngen – beleuchtet der zweite Teil dieses Trendberichts.</w:t>
      </w:r>
    </w:p>
    <w:p w14:paraId="2089FB69" w14:textId="77777777" w:rsidR="00D33309" w:rsidRPr="008B602E" w:rsidRDefault="00D33309">
      <w:pPr>
        <w:suppressAutoHyphens/>
        <w:rPr>
          <w:rFonts w:ascii="Calibri" w:eastAsia="Arial Narrow" w:hAnsi="Calibri" w:cs="Calibri"/>
          <w:kern w:val="2"/>
          <w:lang w:val="de-DE"/>
        </w:rPr>
      </w:pPr>
    </w:p>
    <w:p w14:paraId="687EA789" w14:textId="77777777" w:rsidR="00D33309" w:rsidRPr="008B602E" w:rsidRDefault="00D33309">
      <w:pPr>
        <w:suppressAutoHyphens/>
        <w:rPr>
          <w:rFonts w:ascii="Calibri" w:eastAsia="Arial Narrow" w:hAnsi="Calibri" w:cs="Calibri"/>
          <w:kern w:val="2"/>
          <w:lang w:val="de-DE"/>
        </w:rPr>
      </w:pPr>
    </w:p>
    <w:p w14:paraId="5DEE1C0B" w14:textId="77777777" w:rsidR="00D33309" w:rsidRPr="008B602E" w:rsidRDefault="009604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after="140" w:line="276" w:lineRule="auto"/>
        <w:rPr>
          <w:rFonts w:ascii="Calibri" w:hAnsi="Calibri" w:cs="Calibri"/>
          <w:lang w:val="de-DE"/>
        </w:rPr>
      </w:pPr>
      <w:r w:rsidRPr="008B602E">
        <w:rPr>
          <w:rFonts w:ascii="Calibri" w:hAnsi="Calibri" w:cs="Calibri"/>
          <w:kern w:val="2"/>
          <w:lang w:val="de-DE"/>
        </w:rPr>
        <w:t>Schlagwörter in diesem Artikel: #anlagenbau #chemieanlagenbau #epc #ccs #dekarbonisierung #wasserstoff #ki #modularisierung #digitalengineering #energietransformation #recycling #achema</w:t>
      </w:r>
    </w:p>
    <w:sectPr w:rsidR="00D33309" w:rsidRPr="008B602E">
      <w:headerReference w:type="default" r:id="rId10"/>
      <w:footerReference w:type="default" r:id="rId11"/>
      <w:pgSz w:w="11900" w:h="16840"/>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hmitt, Laura-Katja" w:date="2026-06-26T11:31:00Z" w:initials="LS">
    <w:p w14:paraId="314EA255" w14:textId="77777777" w:rsidR="00845B95" w:rsidRDefault="00845B95" w:rsidP="00845B95">
      <w:pPr>
        <w:pStyle w:val="Kommentartext"/>
      </w:pPr>
      <w:r>
        <w:rPr>
          <w:rStyle w:val="Kommentarzeichen"/>
        </w:rPr>
        <w:annotationRef/>
      </w:r>
      <w:r>
        <w:t>Bitte als „Zitat“ hervorheben.</w:t>
      </w:r>
    </w:p>
  </w:comment>
  <w:comment w:id="1" w:author="Schmitt, Laura-Katja" w:date="2026-06-26T11:31:00Z" w:initials="LS">
    <w:p w14:paraId="6657A26D" w14:textId="77777777" w:rsidR="00845B95" w:rsidRDefault="00845B95" w:rsidP="00845B95">
      <w:pPr>
        <w:pStyle w:val="Kommentartext"/>
      </w:pPr>
      <w:r>
        <w:rPr>
          <w:rStyle w:val="Kommentarzeichen"/>
        </w:rPr>
        <w:annotationRef/>
      </w:r>
      <w:r>
        <w:t>Vorschlag: als „Zitat“ hervorheben.</w:t>
      </w:r>
    </w:p>
  </w:comment>
  <w:comment w:id="2" w:author="Schmitt, Laura-Katja" w:date="2026-06-26T11:32:00Z" w:initials="LS">
    <w:p w14:paraId="35DE5FFD" w14:textId="77777777" w:rsidR="00845B95" w:rsidRDefault="00845B95" w:rsidP="00845B95">
      <w:pPr>
        <w:pStyle w:val="Kommentartext"/>
      </w:pPr>
      <w:r>
        <w:rPr>
          <w:rStyle w:val="Kommentarzeichen"/>
        </w:rPr>
        <w:annotationRef/>
      </w:r>
      <w:r>
        <w:t>Bitte als „Zitat“ hervorheben.</w:t>
      </w:r>
    </w:p>
  </w:comment>
  <w:comment w:id="3" w:author="Schmitt, Laura-Katja" w:date="2026-06-26T11:32:00Z" w:initials="LS">
    <w:p w14:paraId="59B6F477" w14:textId="77777777" w:rsidR="00845B95" w:rsidRDefault="00845B95" w:rsidP="00845B95">
      <w:pPr>
        <w:pStyle w:val="Kommentartext"/>
      </w:pPr>
      <w:r>
        <w:rPr>
          <w:rStyle w:val="Kommentarzeichen"/>
        </w:rPr>
        <w:annotationRef/>
      </w:r>
      <w:r>
        <w:t>Vorschlag: als „Zitat“ hervorheben“</w:t>
      </w:r>
    </w:p>
  </w:comment>
  <w:comment w:id="4" w:author="Schmitt, Laura-Katja" w:date="2026-06-26T11:33:00Z" w:initials="LS">
    <w:p w14:paraId="1C3D62A3" w14:textId="77777777" w:rsidR="00845B95" w:rsidRDefault="00845B95" w:rsidP="00845B95">
      <w:pPr>
        <w:pStyle w:val="Kommentartext"/>
      </w:pPr>
      <w:r>
        <w:rPr>
          <w:rStyle w:val="Kommentarzeichen"/>
        </w:rPr>
        <w:annotationRef/>
      </w:r>
      <w:r>
        <w:t>Bitte als „Zitat“ hervorheben.</w:t>
      </w:r>
    </w:p>
  </w:comment>
  <w:comment w:id="5" w:author="Schmitt, Laura-Katja" w:date="2026-06-26T11:33:00Z" w:initials="LS">
    <w:p w14:paraId="0F9F9847" w14:textId="77777777" w:rsidR="00845B95" w:rsidRDefault="00845B95" w:rsidP="00845B95">
      <w:pPr>
        <w:pStyle w:val="Kommentartext"/>
      </w:pPr>
      <w:r>
        <w:rPr>
          <w:rStyle w:val="Kommentarzeichen"/>
        </w:rPr>
        <w:annotationRef/>
      </w:r>
      <w:r>
        <w:t xml:space="preserve">Wenn der zweite Teil online ist, bitte dann darauf verlinken.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4EA255" w15:done="0"/>
  <w15:commentEx w15:paraId="6657A26D" w15:done="0"/>
  <w15:commentEx w15:paraId="35DE5FFD" w15:done="0"/>
  <w15:commentEx w15:paraId="59B6F477" w15:done="0"/>
  <w15:commentEx w15:paraId="1C3D62A3" w15:done="0"/>
  <w15:commentEx w15:paraId="0F9F98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A90E87" w16cex:dateUtc="2026-06-26T09:31:00Z"/>
  <w16cex:commentExtensible w16cex:durableId="47AE314F" w16cex:dateUtc="2026-06-26T09:31:00Z"/>
  <w16cex:commentExtensible w16cex:durableId="05BEB86A" w16cex:dateUtc="2026-06-26T09:32:00Z"/>
  <w16cex:commentExtensible w16cex:durableId="45D18054" w16cex:dateUtc="2026-06-26T09:32:00Z"/>
  <w16cex:commentExtensible w16cex:durableId="4EB5953D" w16cex:dateUtc="2026-06-26T09:33:00Z"/>
  <w16cex:commentExtensible w16cex:durableId="5C8C389F" w16cex:dateUtc="2026-06-26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4EA255" w16cid:durableId="08A90E87"/>
  <w16cid:commentId w16cid:paraId="6657A26D" w16cid:durableId="47AE314F"/>
  <w16cid:commentId w16cid:paraId="35DE5FFD" w16cid:durableId="05BEB86A"/>
  <w16cid:commentId w16cid:paraId="59B6F477" w16cid:durableId="45D18054"/>
  <w16cid:commentId w16cid:paraId="1C3D62A3" w16cid:durableId="4EB5953D"/>
  <w16cid:commentId w16cid:paraId="0F9F9847" w16cid:durableId="5C8C38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0AC7" w14:textId="77777777" w:rsidR="00DD7E3B" w:rsidRDefault="00DD7E3B">
      <w:r>
        <w:separator/>
      </w:r>
    </w:p>
  </w:endnote>
  <w:endnote w:type="continuationSeparator" w:id="0">
    <w:p w14:paraId="66044EAD" w14:textId="77777777" w:rsidR="00DD7E3B" w:rsidRDefault="00DD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A015" w14:textId="77777777" w:rsidR="00D33309" w:rsidRDefault="00D33309">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A8F9" w14:textId="77777777" w:rsidR="00DD7E3B" w:rsidRDefault="00DD7E3B">
      <w:r>
        <w:separator/>
      </w:r>
    </w:p>
  </w:footnote>
  <w:footnote w:type="continuationSeparator" w:id="0">
    <w:p w14:paraId="0966B049" w14:textId="77777777" w:rsidR="00DD7E3B" w:rsidRDefault="00DD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A8ED" w14:textId="77777777" w:rsidR="00D33309" w:rsidRDefault="00D33309">
    <w:pPr>
      <w:pStyle w:val="Kopf-undFuzeilen"/>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mitt, Laura-Katja">
    <w15:presenceInfo w15:providerId="AD" w15:userId="S::laura.schmitt@dechema.de::a77db0ce-b7b4-4041-aba6-62ca9ae96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09"/>
    <w:rsid w:val="007B3D98"/>
    <w:rsid w:val="00845B95"/>
    <w:rsid w:val="008B602E"/>
    <w:rsid w:val="009604AC"/>
    <w:rsid w:val="00AC0074"/>
    <w:rsid w:val="00B96C73"/>
    <w:rsid w:val="00BB1786"/>
    <w:rsid w:val="00CE664A"/>
    <w:rsid w:val="00D33309"/>
    <w:rsid w:val="00DD7E3B"/>
    <w:rsid w:val="00E06C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D100"/>
  <w15:docId w15:val="{E94BE876-B2E7-44AD-91E3-ED011336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A">
    <w:name w:val="Text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berarbeitung">
    <w:name w:val="Revision"/>
    <w:hidden/>
    <w:uiPriority w:val="99"/>
    <w:semiHidden/>
    <w:rsid w:val="007B3D98"/>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14:textOutline w14:w="12700" w14:cap="flat" w14:cmpd="sng" w14:algn="ctr">
        <w14:noFill/>
        <w14:prstDash w14:val="solid"/>
        <w14:miter w14:lim="400000"/>
      </w14:textOutline>
    </w:rPr>
  </w:style>
  <w:style w:type="character" w:styleId="Kommentarzeichen">
    <w:name w:val="annotation reference"/>
    <w:basedOn w:val="Absatz-Standardschriftart"/>
    <w:uiPriority w:val="99"/>
    <w:semiHidden/>
    <w:unhideWhenUsed/>
    <w:rsid w:val="00845B95"/>
    <w:rPr>
      <w:sz w:val="16"/>
      <w:szCs w:val="16"/>
    </w:rPr>
  </w:style>
  <w:style w:type="paragraph" w:styleId="Kommentartext">
    <w:name w:val="annotation text"/>
    <w:basedOn w:val="Standard"/>
    <w:link w:val="KommentartextZchn"/>
    <w:uiPriority w:val="99"/>
    <w:unhideWhenUsed/>
    <w:rsid w:val="00845B95"/>
    <w:rPr>
      <w:sz w:val="20"/>
      <w:szCs w:val="20"/>
    </w:rPr>
  </w:style>
  <w:style w:type="character" w:customStyle="1" w:styleId="KommentartextZchn">
    <w:name w:val="Kommentartext Zchn"/>
    <w:basedOn w:val="Absatz-Standardschriftart"/>
    <w:link w:val="Kommentartext"/>
    <w:uiPriority w:val="99"/>
    <w:rsid w:val="00845B95"/>
    <w:rPr>
      <w:rFonts w:cs="Arial Unicode MS"/>
      <w:color w:val="000000"/>
      <w:u w:color="000000"/>
      <w:lang w:val="en-US"/>
      <w14:textOutline w14:w="12700" w14:cap="flat" w14:cmpd="sng" w14:algn="ctr">
        <w14:noFill/>
        <w14:prstDash w14:val="solid"/>
        <w14:miter w14:lim="400000"/>
      </w14:textOutline>
    </w:rPr>
  </w:style>
  <w:style w:type="paragraph" w:styleId="Kommentarthema">
    <w:name w:val="annotation subject"/>
    <w:basedOn w:val="Kommentartext"/>
    <w:next w:val="Kommentartext"/>
    <w:link w:val="KommentarthemaZchn"/>
    <w:uiPriority w:val="99"/>
    <w:semiHidden/>
    <w:unhideWhenUsed/>
    <w:rsid w:val="00845B95"/>
    <w:rPr>
      <w:b/>
      <w:bCs/>
    </w:rPr>
  </w:style>
  <w:style w:type="character" w:customStyle="1" w:styleId="KommentarthemaZchn">
    <w:name w:val="Kommentarthema Zchn"/>
    <w:basedOn w:val="KommentartextZchn"/>
    <w:link w:val="Kommentarthema"/>
    <w:uiPriority w:val="99"/>
    <w:semiHidden/>
    <w:rsid w:val="00845B95"/>
    <w:rPr>
      <w:rFonts w:cs="Arial Unicode MS"/>
      <w:b/>
      <w:bCs/>
      <w:color w:val="000000"/>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1851</Words>
  <Characters>11666</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DECHEMA e.V.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Schmitt, Laura-Katja</cp:lastModifiedBy>
  <cp:revision>4</cp:revision>
  <dcterms:created xsi:type="dcterms:W3CDTF">2026-05-26T10:22:00Z</dcterms:created>
  <dcterms:modified xsi:type="dcterms:W3CDTF">2026-06-26T09:39:00Z</dcterms:modified>
</cp:coreProperties>
</file>