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E3C3" w14:textId="55B98238" w:rsidR="002544D6" w:rsidRPr="007F44C2" w:rsidRDefault="007F44C2" w:rsidP="007F44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kern w:val="2"/>
          <w:lang w:val="en-GB"/>
        </w:rPr>
      </w:pPr>
      <w:r w:rsidRPr="007F44C2">
        <w:rPr>
          <w:rFonts w:ascii="Calibri" w:hAnsi="Calibri" w:cs="Calibri"/>
          <w:kern w:val="2"/>
          <w:lang w:val="en-GB"/>
        </w:rPr>
        <w:t>Process Innovation</w:t>
      </w:r>
    </w:p>
    <w:p w14:paraId="0B1C5622"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32"/>
          <w:szCs w:val="32"/>
          <w:lang w:val="en-GB"/>
        </w:rPr>
      </w:pPr>
      <w:r w:rsidRPr="007F44C2">
        <w:rPr>
          <w:rFonts w:ascii="Calibri" w:hAnsi="Calibri" w:cs="Calibri"/>
          <w:b/>
          <w:bCs/>
          <w:kern w:val="2"/>
          <w:sz w:val="32"/>
          <w:szCs w:val="32"/>
          <w:lang w:val="en-GB"/>
        </w:rPr>
        <w:t>Decarbonisation, data, breakthrough?</w:t>
      </w:r>
    </w:p>
    <w:p w14:paraId="592102DC"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sz w:val="28"/>
          <w:szCs w:val="28"/>
          <w:lang w:val="en-GB"/>
        </w:rPr>
      </w:pPr>
      <w:r w:rsidRPr="007F44C2">
        <w:rPr>
          <w:rFonts w:ascii="Calibri" w:hAnsi="Calibri" w:cs="Calibri"/>
          <w:b/>
          <w:bCs/>
          <w:kern w:val="2"/>
          <w:sz w:val="32"/>
          <w:szCs w:val="32"/>
          <w:lang w:val="en-GB"/>
        </w:rPr>
        <w:t>How the chemical plant engineering sector is organising its transformation</w:t>
      </w:r>
    </w:p>
    <w:p w14:paraId="14ACB26A" w14:textId="1201DCFD" w:rsidR="007F44C2" w:rsidRDefault="002E4DB7" w:rsidP="007F44C2">
      <w:pPr>
        <w:pStyle w:val="TextA"/>
        <w:rPr>
          <w:rFonts w:ascii="Calibri" w:hAnsi="Calibri" w:cs="Calibri"/>
          <w:sz w:val="24"/>
          <w:szCs w:val="24"/>
          <w:lang w:val="en-GB"/>
        </w:rPr>
      </w:pPr>
      <w:r w:rsidRPr="007F44C2">
        <w:rPr>
          <w:rFonts w:ascii="Calibri" w:hAnsi="Calibri" w:cs="Calibri"/>
          <w:sz w:val="24"/>
          <w:szCs w:val="24"/>
          <w:lang w:val="en-GB"/>
        </w:rPr>
        <w:t>Decarbonisation remains the driving force in chemical plant engineering. However, while many hydrogen and power-to-X projects are stalling, carbon management and chemical recycling are quickly becoming established project categories. Meanwhile, skills shortages, increasingly complex supply chains and new resilience requirements are putting further pressure on the sector. AI, modularisation and digital twins are therefore shifting from being 'nice to have' to becoming prerequisites for the industry's transformation.</w:t>
      </w:r>
    </w:p>
    <w:p w14:paraId="24F0E0AF" w14:textId="77777777" w:rsidR="007F44C2" w:rsidRDefault="007F44C2" w:rsidP="007F44C2">
      <w:pPr>
        <w:pStyle w:val="TextA"/>
        <w:rPr>
          <w:rFonts w:ascii="Calibri" w:hAnsi="Calibri" w:cs="Calibri"/>
          <w:sz w:val="24"/>
          <w:szCs w:val="24"/>
          <w:lang w:val="en-GB"/>
        </w:rPr>
      </w:pPr>
    </w:p>
    <w:p w14:paraId="0DE1347E" w14:textId="4CA9F184" w:rsidR="007F44C2" w:rsidRPr="007265E7" w:rsidRDefault="007265E7" w:rsidP="007265E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242016">
        <w:rPr>
          <w:rFonts w:ascii="Calibri" w:eastAsia="Arial Narrow" w:hAnsi="Calibri" w:cs="Calibri"/>
          <w:kern w:val="2"/>
          <w:highlight w:val="yellow"/>
          <w:lang w:val="de-DE"/>
        </w:rPr>
        <w:t>BILD einsetzen: shutterstock_111691541_Tungphoto_Header</w:t>
      </w:r>
    </w:p>
    <w:p w14:paraId="3A82E9E2"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No issue has had a greater impact on chemical plant engineering in recent years than decarbonisation. Hardly any other issue has led to so much disillusionment. Many announced hydrogen, e-fuels and power-to-X projects have failed to progress to the final investment decision stage. Rising interest rates, uncertain off-take agreements, high electricity prices and a lack of infrastructure are holding things back. However, the transformation is still possible. It is simply becoming more selective and pragmatic, and more open to different technologies.</w:t>
      </w:r>
    </w:p>
    <w:p w14:paraId="4B536375"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This is particularly evident in the case of hydrogen. The IEA estimated that the global installed electrolysis capacity would reach around 1.75 GW by mid-2024 – a fraction of the capacity announced in global project pipelines for 2030. Europe is now launching its first major plants, for example in Hamburg and Austria. Meanwhile, policymakers are attempting to counteract this. The EU is working on a 'legislative act for the accelerated decarbonisation of industry' to create demand for low-carbon products and speed up approvals for decarbonisation projects. Germany, for its part, is refining its National Hydrogen Strategy and discussing climate protection agreements, as well as additional funding for electrolysis projects. However, there is still a gap between announcements and investment decisions. </w:t>
      </w:r>
      <w:r w:rsidRPr="007F44C2">
        <w:rPr>
          <w:rFonts w:ascii="Calibri" w:hAnsi="Calibri" w:cs="Calibri"/>
          <w:b/>
          <w:bCs/>
          <w:i/>
          <w:iCs/>
          <w:kern w:val="2"/>
          <w:lang w:val="en-GB"/>
        </w:rPr>
        <w:t>For the chemical plant engineering sector, this means that hydrogen remains a future market, but not yet a mass market.</w:t>
      </w:r>
      <w:r w:rsidRPr="007F44C2">
        <w:rPr>
          <w:rFonts w:ascii="Calibri" w:hAnsi="Calibri" w:cs="Calibri"/>
          <w:kern w:val="2"/>
          <w:lang w:val="en-GB"/>
        </w:rPr>
        <w:t xml:space="preserve"> To succeed here, companies need technology partnerships, standardisation and customers with robust off-take agreements, as well as a policy framework that brings together demand, networks and financing.</w:t>
      </w:r>
    </w:p>
    <w:p w14:paraId="591B6FF8" w14:textId="18809E5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b/>
          <w:bCs/>
          <w:i/>
          <w:iCs/>
          <w:kern w:val="2"/>
          <w:lang w:val="en-GB"/>
        </w:rPr>
        <w:t>CCS, by contrast, is evolving more rapidly from a contentious issue to a project category.</w:t>
      </w:r>
      <w:r w:rsidRPr="007F44C2">
        <w:rPr>
          <w:rFonts w:ascii="Calibri" w:hAnsi="Calibri" w:cs="Calibri"/>
          <w:kern w:val="2"/>
          <w:lang w:val="en-GB"/>
        </w:rPr>
        <w:t xml:space="preserve"> Several major projects have reached final investment decisions in Europe, and the EU Innovation Fund is providing substantial funding for CO₂ capture, transport and storage. Germany is creating a robust framework for industrial applications for the first time with the amended Carbon Dioxide Storage and Transport Act. For the cement, lime, chemical and refining industries, as well as waste incineration, CCS is not a desirable option, but often the only realistic means of reducing emissions. The difference from the past lies in customer logic: CCS is no longer merely being discussed because of pressure from regulators. It is being planned because customers are demanding products with a lower carbon footprint, </w:t>
      </w:r>
      <w:r w:rsidR="00E3483A" w:rsidRPr="007F44C2">
        <w:rPr>
          <w:rFonts w:ascii="Calibri" w:hAnsi="Calibri" w:cs="Calibri"/>
          <w:kern w:val="2"/>
          <w:lang w:val="en-GB"/>
        </w:rPr>
        <w:t xml:space="preserve">as </w:t>
      </w:r>
      <w:r w:rsidRPr="007F44C2">
        <w:rPr>
          <w:rFonts w:ascii="Calibri" w:hAnsi="Calibri" w:cs="Calibri"/>
          <w:kern w:val="2"/>
          <w:lang w:val="en-GB"/>
        </w:rPr>
        <w:t xml:space="preserve">the cost of carbon is rising and because </w:t>
      </w:r>
      <w:r w:rsidRPr="007F44C2">
        <w:rPr>
          <w:rFonts w:ascii="Calibri" w:hAnsi="Calibri" w:cs="Calibri"/>
          <w:kern w:val="2"/>
          <w:lang w:val="en-GB"/>
        </w:rPr>
        <w:lastRenderedPageBreak/>
        <w:t>existing plants would otherwise lose value prematurely. Carbon management is not a single technology, but rather a new infrastructure chain.</w:t>
      </w:r>
    </w:p>
    <w:p w14:paraId="0CA36F96" w14:textId="77777777" w:rsidR="002544D6"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kern w:val="2"/>
          <w:lang w:val="en-GB"/>
        </w:rPr>
      </w:pPr>
      <w:r w:rsidRPr="007F44C2">
        <w:rPr>
          <w:rFonts w:ascii="Calibri" w:hAnsi="Calibri" w:cs="Calibri"/>
          <w:b/>
          <w:bCs/>
          <w:i/>
          <w:iCs/>
          <w:kern w:val="2"/>
          <w:lang w:val="en-GB"/>
        </w:rPr>
        <w:t>Chemical recycling is also evolving from a pilot-scale endeavour to an EPC segment.</w:t>
      </w:r>
      <w:r w:rsidRPr="007F44C2">
        <w:rPr>
          <w:rFonts w:ascii="Calibri" w:hAnsi="Calibri" w:cs="Calibri"/>
          <w:kern w:val="2"/>
          <w:lang w:val="en-GB"/>
        </w:rPr>
        <w:t xml:space="preserve"> What was once confined to demonstration-scale projects, such as pyrolysis plants for mixed plastic waste, solvolysis for polyester and the depolymerisation of PET, is now being planned for commercial-scale units. European recycling rates and packaging regulations are creating demand for processes that complement, rather than replace, mechanical recycling. This presents opportunities for plant manufacturers, as it combines process engineering, scaling-up expertise, and integration into existing chemical parks.</w:t>
      </w:r>
    </w:p>
    <w:p w14:paraId="67C6C40D" w14:textId="5E0C7F61" w:rsidR="007265E7" w:rsidRPr="007265E7" w:rsidRDefault="007265E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AF2689">
        <w:rPr>
          <w:rFonts w:ascii="Calibri" w:hAnsi="Calibri" w:cs="Calibri"/>
          <w:kern w:val="2"/>
          <w:highlight w:val="yellow"/>
          <w:lang w:val="de-DE"/>
        </w:rPr>
        <w:t>BILD einsetzen (gerne auch nur in eine Spalte und Absatz zu „chemisches Recycling) daneben: AdobeStock_187739349_</w:t>
      </w:r>
      <w:r w:rsidRPr="00242016">
        <w:rPr>
          <w:rFonts w:ascii="Calibri" w:hAnsi="Calibri" w:cs="Calibri"/>
          <w:kern w:val="2"/>
          <w:highlight w:val="yellow"/>
          <w:lang w:val="de-DE"/>
        </w:rPr>
        <w:t>Irina_Bild 2</w:t>
      </w:r>
    </w:p>
    <w:p w14:paraId="74FC95F2"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Collaborations are becoming closer</w:t>
      </w:r>
    </w:p>
    <w:p w14:paraId="1911578F" w14:textId="19473BA9"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As was evident from the first net-zero projects in 2022 and 2023, it is now clear that no single company can address the major transformation challenges alone. Chemical companies, technology providers, electrolysis manufacturers, industrial gas companies, and EPC contractors are forming closer partnerships. Many projects are the first of their kind, combining familiar equipment with new process chains, raw material grades and business models. Plant engineers must not only build </w:t>
      </w:r>
      <w:r w:rsidR="00E3483A" w:rsidRPr="007F44C2">
        <w:rPr>
          <w:rFonts w:ascii="Calibri" w:hAnsi="Calibri" w:cs="Calibri"/>
          <w:kern w:val="2"/>
          <w:lang w:val="en-GB"/>
        </w:rPr>
        <w:t>processes but</w:t>
      </w:r>
      <w:r w:rsidRPr="007F44C2">
        <w:rPr>
          <w:rFonts w:ascii="Calibri" w:hAnsi="Calibri" w:cs="Calibri"/>
          <w:kern w:val="2"/>
          <w:lang w:val="en-GB"/>
        </w:rPr>
        <w:t xml:space="preserve"> also industrialise them. This involves deriving robust designs from pilot data, defining interfaces, and modularising plants so that subsequent builds are not one-offs. </w:t>
      </w:r>
    </w:p>
    <w:p w14:paraId="4958B921"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i/>
          <w:iCs/>
          <w:kern w:val="2"/>
          <w:lang w:val="en-GB"/>
        </w:rPr>
      </w:pPr>
      <w:r w:rsidRPr="007F44C2">
        <w:rPr>
          <w:rFonts w:ascii="Calibri" w:hAnsi="Calibri" w:cs="Calibri"/>
          <w:kern w:val="2"/>
          <w:lang w:val="en-GB"/>
        </w:rPr>
        <w:t xml:space="preserve">The Northern Lights CCS project in Norway is one example of this. As part of the Longship programme, Equinor, Shell and TotalEnergies are helping to establish a complete CO₂ value chain there, from capture at the Heidelberg Materials cement plant in Brevik and other industrial sources, to transport by ship to the terminal in Øygarden and offshore storage in the Aurora field in the North Sea. Since the first phase was commissioned in the summer of 2025, the project has served to test a scalable business model, new operational processes, and interfaces between authorities, industrial partners, and EPC service providers in real-world operation. Following the investment decision for the second phase in 2025, capacity will be expanded from 1.5 to over 5 million tonnes of CO₂ per year by 2028, secured through long-term contracts with industrial customers including Yara, Ørsted, and Stockholm Exergi. </w:t>
      </w:r>
      <w:r w:rsidRPr="007F44C2">
        <w:rPr>
          <w:rFonts w:ascii="Calibri" w:hAnsi="Calibri" w:cs="Calibri"/>
          <w:b/>
          <w:bCs/>
          <w:i/>
          <w:iCs/>
          <w:kern w:val="2"/>
          <w:lang w:val="en-GB"/>
        </w:rPr>
        <w:t>This highlights the evolving role of plant engineering, which is no longer merely about constructing a plant, but also about defining a repeatable process and infrastructure platform in collaboration with customers and partners.</w:t>
      </w:r>
    </w:p>
    <w:p w14:paraId="6BC2F8F5"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Due to the time horizon, the platform logic takes on new significance: large-scale chemical plants often operate for 30 to 50 years. Anyone planning a cracker or an ammonia plant today is setting emission profiles that extend well beyond 2050. Net-zero capability is becoming a planning requirement, even if the plant is not fully climate-neutral from the outset.</w:t>
      </w:r>
    </w:p>
    <w:p w14:paraId="31D5C445"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Productivity becomes a matter of survival</w:t>
      </w:r>
    </w:p>
    <w:p w14:paraId="70D748E1"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The greatest shortage in chemical plant engineering is not capital. It is people. Engineers, project managers, welders, site managers, commissioning engineers and automation specialists are in short supply in almost all major project regions. In Germany, mechanical and plant engineering </w:t>
      </w:r>
      <w:r w:rsidRPr="007F44C2">
        <w:rPr>
          <w:rFonts w:ascii="Calibri" w:hAnsi="Calibri" w:cs="Calibri"/>
          <w:kern w:val="2"/>
          <w:lang w:val="en-GB"/>
        </w:rPr>
        <w:lastRenderedPageBreak/>
        <w:t>firms have reported production bottlenecks due to a lack of engineering capacity for years. A study by the German Economic Institute forecasts that the German mechanical and plant engineering sector will face a shortage of around 180,000 skilled workers by the mid-2030s. Outside Europe, the issue has also become a risk for some time: in the USA, industry analyses show that several hundred thousand positions in construction and project management remain permanently unfilled. The sector would require hundreds of thousands more workers each year to fully meet the demands of project pipelines in industrial and energy plant construction, as well as data centres. Location analyses for the Middle East and Asia reveal that major projects in the oil, gas, chemicals and infrastructure sectors rely heavily on international engineers, site managers and specialist tradespeople, as local capacity is insufficient.</w:t>
      </w:r>
    </w:p>
    <w:p w14:paraId="0E13DA53"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b/>
          <w:bCs/>
          <w:i/>
          <w:iCs/>
          <w:kern w:val="2"/>
          <w:lang w:val="en-GB"/>
        </w:rPr>
        <w:t>For chemical plant engineering, every additional decarbonisation, digitalisation and resilience task must contend with a labour market already operating at full capacity.</w:t>
      </w:r>
      <w:r w:rsidRPr="007F44C2">
        <w:rPr>
          <w:rFonts w:ascii="Calibri" w:hAnsi="Calibri" w:cs="Calibri"/>
          <w:kern w:val="2"/>
          <w:lang w:val="en-GB"/>
        </w:rPr>
        <w:t xml:space="preserve"> At the same time, projects are becoming more complex, supply chains are becoming more political, and documentation requirements are becoming more extensive. This is why AI, modularisation and digital engineering are no longer just desirable options, but a matter of survival.</w:t>
      </w:r>
    </w:p>
    <w:p w14:paraId="2AAB5BEC" w14:textId="148597E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According to a study by the VDMA</w:t>
      </w:r>
      <w:r w:rsidR="00E3483A" w:rsidRPr="007F44C2">
        <w:rPr>
          <w:rFonts w:ascii="Calibri" w:hAnsi="Calibri" w:cs="Calibri"/>
          <w:kern w:val="2"/>
          <w:lang w:val="en-GB"/>
        </w:rPr>
        <w:t xml:space="preserve"> (the German Association of Mechanical and Plant Engineering)</w:t>
      </w:r>
      <w:r w:rsidRPr="007F44C2">
        <w:rPr>
          <w:rFonts w:ascii="Calibri" w:hAnsi="Calibri" w:cs="Calibri"/>
          <w:kern w:val="2"/>
          <w:lang w:val="en-GB"/>
        </w:rPr>
        <w:t xml:space="preserve">, almost all major plant engineers are using or planning to use generative AI. However, only a fraction of companies are successfully making the leap from pilot applications to widespread implementation. </w:t>
      </w:r>
      <w:r w:rsidRPr="007F44C2">
        <w:rPr>
          <w:rFonts w:ascii="Calibri" w:hAnsi="Calibri" w:cs="Calibri"/>
          <w:b/>
          <w:bCs/>
          <w:i/>
          <w:iCs/>
          <w:kern w:val="2"/>
          <w:lang w:val="en-GB"/>
        </w:rPr>
        <w:t>The bottleneck is often not the AI model itself, but the data infrastructure: inconsistent engineering data, outdated documentation, unlinked systems and siloed data between planning, procurement, construction and operations.</w:t>
      </w:r>
      <w:r w:rsidRPr="007F44C2">
        <w:rPr>
          <w:rFonts w:ascii="Calibri" w:hAnsi="Calibri" w:cs="Calibri"/>
          <w:kern w:val="2"/>
          <w:lang w:val="en-GB"/>
        </w:rPr>
        <w:t xml:space="preserve"> Companies that automatically evaluate </w:t>
      </w:r>
      <w:r w:rsidR="007E5D2E" w:rsidRPr="007F44C2">
        <w:rPr>
          <w:rFonts w:ascii="Calibri" w:hAnsi="Calibri" w:cs="Calibri"/>
          <w:kern w:val="2"/>
          <w:lang w:val="en-GB"/>
        </w:rPr>
        <w:t xml:space="preserve">P&amp;ID </w:t>
      </w:r>
      <w:r w:rsidRPr="007F44C2">
        <w:rPr>
          <w:rFonts w:ascii="Calibri" w:hAnsi="Calibri" w:cs="Calibri"/>
          <w:kern w:val="2"/>
          <w:lang w:val="en-GB"/>
        </w:rPr>
        <w:t>schemes, analyse contract clauses with AI support or monitor supply chain risks in real time can gain a competitive advantage – but only if the data is correct. AI-supported engineering also has the potential to bring detailed engineering closer to core teams and partially neutralise the cost advantage of traditional low-wage locations. Furthermore, AI can help transform strictly sequential project workflows into concurrent engineering, i.e. more parallel processes that are iteratively coordinated, with shorter lead times and minimal interface losses.</w:t>
      </w:r>
    </w:p>
    <w:p w14:paraId="0AF2484D"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 xml:space="preserve">Digital Engineering as a key to competitiveness </w:t>
      </w:r>
    </w:p>
    <w:p w14:paraId="0BCC641A"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Samsung E&amp;A demonstrated early on just how far this approach can go. Rather than focusing on traditional document-based workflows, the company has shifted its focus to an engineering data platform. Database-centred workflows now enable tremendous speed on mega-projects in the Middle East. In parallel, the focus in software development is shifting from standalone solutions towards integrated, data-centred CAE platforms. Hexagon supports the automated analysis and consistency checking of P&amp;IDs with smart engineering tools, meaning changes no longer have to be manually tracked across dozens of document versions. AVEVA is developing digital twin solutions that link FEED, detailed engineering, construction, commissioning and operation within a single, shared data model. </w:t>
      </w:r>
    </w:p>
    <w:p w14:paraId="3B2900C7" w14:textId="77777777" w:rsidR="002544D6"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kern w:val="2"/>
          <w:lang w:val="en-GB"/>
        </w:rPr>
      </w:pPr>
      <w:r w:rsidRPr="007F44C2">
        <w:rPr>
          <w:rFonts w:ascii="Calibri" w:hAnsi="Calibri" w:cs="Calibri"/>
          <w:kern w:val="2"/>
          <w:lang w:val="en-GB"/>
        </w:rPr>
        <w:t xml:space="preserve">Aspen Technology is bringing AI-powered process simulation, advanced process control and optimisation directly into process design and plant operations ('Industrial AI'). Siemens' COMOS links engineering objects with control and automation systems across the entire plant lifecycle. </w:t>
      </w:r>
      <w:r w:rsidRPr="007F44C2">
        <w:rPr>
          <w:rFonts w:ascii="Calibri" w:hAnsi="Calibri" w:cs="Calibri"/>
          <w:kern w:val="2"/>
          <w:lang w:val="en-GB"/>
        </w:rPr>
        <w:lastRenderedPageBreak/>
        <w:t xml:space="preserve">Bentley is integrating engineering, 3D and asset data — particularly in complex infrastructure and plant networks — using OpenPlant and AssetWise. </w:t>
      </w:r>
    </w:p>
    <w:p w14:paraId="005EF3A6" w14:textId="41D737D7" w:rsidR="007265E7" w:rsidRPr="007265E7" w:rsidRDefault="007265E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242016">
        <w:rPr>
          <w:rFonts w:ascii="Calibri" w:hAnsi="Calibri" w:cs="Calibri"/>
          <w:kern w:val="2"/>
          <w:highlight w:val="yellow"/>
          <w:lang w:val="de-DE"/>
        </w:rPr>
        <w:t>BILD einsetzen: AdobeStock_552748421_NicoElNino_Bild 3</w:t>
      </w:r>
    </w:p>
    <w:p w14:paraId="2F0FA923"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kern w:val="2"/>
          <w:lang w:val="en-GB"/>
        </w:rPr>
      </w:pPr>
      <w:r w:rsidRPr="007F44C2">
        <w:rPr>
          <w:rFonts w:ascii="Calibri" w:hAnsi="Calibri" w:cs="Calibri"/>
          <w:kern w:val="2"/>
          <w:lang w:val="en-GB"/>
        </w:rPr>
        <w:t>With Engineering Base, Aucotec focuses on object-oriented, database-supported engineering in which flow diagrams, R&amp;I diagrams, lists, and 3D models are all based on a common data model. Cadison also models plants as digital twins, linking process engineering, piping design, EMSR engineering and layout – a key prerequisite for AI applications to access complete, up-to-date engineering data.</w:t>
      </w:r>
    </w:p>
    <w:p w14:paraId="4B165243" w14:textId="77777777" w:rsidR="007E5D2E" w:rsidRPr="007F44C2" w:rsidRDefault="007E5D2E" w:rsidP="007E5D2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i/>
          <w:iCs/>
          <w:kern w:val="2"/>
          <w:lang w:val="en-GB"/>
        </w:rPr>
      </w:pPr>
      <w:r w:rsidRPr="007F44C2">
        <w:rPr>
          <w:rFonts w:ascii="Calibri" w:hAnsi="Calibri" w:cs="Calibri"/>
          <w:b/>
          <w:bCs/>
          <w:i/>
          <w:iCs/>
          <w:kern w:val="2"/>
          <w:lang w:val="en-GB"/>
        </w:rPr>
        <w:t>With DEXPI, an open data model is now available for the first time that bridges the gap between the design and operational phases and makes engineering data usable throughout the entire plant lifecycle.</w:t>
      </w:r>
    </w:p>
    <w:p w14:paraId="06D86B33" w14:textId="6721F75E"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For Western EPC companies, this is more than just an efficiency programme: it is a means of remaining competitive against suppliers with lower engineering costs. Those who have control over their engineering platforms, data models and CAE tools </w:t>
      </w:r>
      <w:r w:rsidR="007E5D2E" w:rsidRPr="007F44C2">
        <w:rPr>
          <w:rFonts w:ascii="Calibri" w:hAnsi="Calibri" w:cs="Calibri"/>
          <w:kern w:val="2"/>
          <w:lang w:val="en-GB"/>
        </w:rPr>
        <w:t xml:space="preserve">and master standards such as DEXPI </w:t>
      </w:r>
      <w:r w:rsidRPr="007F44C2">
        <w:rPr>
          <w:rFonts w:ascii="Calibri" w:hAnsi="Calibri" w:cs="Calibri"/>
          <w:kern w:val="2"/>
          <w:lang w:val="en-GB"/>
        </w:rPr>
        <w:t>shift value creation from the construction site to the planning stage — and thus to where quality, deadlines and risks can be most effectively influenced. Productivity, decarbonisation and resilience requirements converge precisely here: the more that can be clarified in the digital twin, the less expensive steel construction, refurbishment and ongoing operations will be later on.</w:t>
      </w:r>
    </w:p>
    <w:p w14:paraId="379541F2"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Modularisation: From the construction site to the factory floor</w:t>
      </w:r>
    </w:p>
    <w:p w14:paraId="740FA027"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Another key driver of efficiency is modularisation. It shifts value creation from the construction site to the factory floor. Modules reduce the risks associated with weather, labour and quality, shorten construction times, and make projects more predictable. Digital twins bridge the gap between engineering, construction and operation. Those who provide operators with not just a plant, but also a digital representation covering the entire lifecycle create added value and retain customers beyond commissioning. The MTP (Module Type Package) standard supports this approach by ensuring that flexibility is not compromised by proprietary interfaces. The MTP describes a module’s functionalities so precisely in semantic terms that it can be integrated into the higher-level process control system almost via 'plug &amp; produce'.</w:t>
      </w:r>
    </w:p>
    <w:p w14:paraId="167FDDB3"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Geopolitics plays a part</w:t>
      </w:r>
    </w:p>
    <w:p w14:paraId="4268D44C"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Another new reality is that geopolitics has become a procurement parameter. The decision of who builds the plant, who orders it and which country the critical components come from is no longer solely determined by cost and quality. Supply chain security, export controls, sanctions and political affiliation all influence procurement decisions. Particularly sensitive in this regard are components that cannot easily be substituted, such as large process gas compressors and turbomachinery, special alloys for heat exchangers and reactors, catalysts and highly specialised measurement and control valves. High-pressure compressors and turbomachinery are often supplied by a small number of Western suppliers in Europe, Japan or the USA, while many valves, actuators and field devices are sourced from Asia. Catalysts, in turn, are heavily dependent on individual technology licensors. Export controls on certain high-performance materials or </w:t>
      </w:r>
      <w:r w:rsidRPr="007F44C2">
        <w:rPr>
          <w:rFonts w:ascii="Calibri" w:hAnsi="Calibri" w:cs="Calibri"/>
          <w:kern w:val="2"/>
          <w:lang w:val="en-GB"/>
        </w:rPr>
        <w:lastRenderedPageBreak/>
        <w:t>automation components, as well as Chinese export restrictions on critical raw materials such as chromium, nickel and rare earths, are forcing plant operators and EPCs to increasingly diversify their supplier portfolios and establish alternative sources of supply outside areas of political tension.</w:t>
      </w:r>
    </w:p>
    <w:p w14:paraId="4AA55142"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b/>
          <w:bCs/>
          <w:i/>
          <w:iCs/>
          <w:kern w:val="2"/>
          <w:lang w:val="en-GB"/>
        </w:rPr>
        <w:t>Meanwhile, the balance of power among suppliers is shifting: while Western corporations focus on access to technology, front-end expertise and risk management, Asian competitors are gaining ground with other strengths.</w:t>
      </w:r>
      <w:r w:rsidRPr="007F44C2">
        <w:rPr>
          <w:rFonts w:ascii="Calibri" w:hAnsi="Calibri" w:cs="Calibri"/>
          <w:kern w:val="2"/>
          <w:lang w:val="en-GB"/>
        </w:rPr>
        <w:t xml:space="preserve"> Chinese EPC providers such as CNCEC or Sinopec Engineering offer low engineering costs, rapid project delivery and growing project experience. In many markets across the Middle East, Africa and Asia, they are strong competitors. Western plant manufacturers cannot compete with them on price in the long term. Their advantage lies in technology, front-end expertise, project management and digitalisation. Meanwhile, new opportunities are emerging, with an increasing number of US clients awarding contracts to Europe to reduce their dependence on China. Quality is thus also becoming a security issue.</w:t>
      </w:r>
    </w:p>
    <w:p w14:paraId="432B2F29"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Europe seeks a new industrial profile</w:t>
      </w:r>
    </w:p>
    <w:p w14:paraId="6ABD1E18"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While Asia and the Gulf are expanding traditional chemical capacities, Europe is seeking a new industrial profile in transition markets. High energy prices, CO₂ costs and slow approval procedures make new large-scale investments in basic chemicals unattractive in the long term – no company would invest billions in new capacity when existing plants are underutilised and competitors in the US or the Gulf have access to cheaper energy sources.</w:t>
      </w:r>
    </w:p>
    <w:p w14:paraId="743875A1"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 xml:space="preserve">Rather than returning to the old model, the solution lies in areas where Europe is already leading the way in terms of regulation, technology and infrastructure, such as the electrification of industrial processes, CCS value chains, hydrogen infrastructure, chemical recycling, industrial biotechnology, battery materials, grid infrastructure and energy plants. </w:t>
      </w:r>
      <w:r w:rsidRPr="007F44C2">
        <w:rPr>
          <w:rFonts w:ascii="Calibri" w:hAnsi="Calibri" w:cs="Calibri"/>
          <w:b/>
          <w:bCs/>
          <w:i/>
          <w:iCs/>
          <w:kern w:val="2"/>
          <w:lang w:val="en-GB"/>
        </w:rPr>
        <w:t>The German Chemical Industry Agenda 2045 explicitly identifies electrification, biotechnology and the circular economy as key pillars.</w:t>
      </w:r>
      <w:r w:rsidRPr="007F44C2">
        <w:rPr>
          <w:rFonts w:ascii="Calibri" w:hAnsi="Calibri" w:cs="Calibri"/>
          <w:kern w:val="2"/>
          <w:lang w:val="en-GB"/>
        </w:rPr>
        <w:t xml:space="preserve"> The VDMA's Large-Scale Plant Engineering division reports growth drivers in energy, recycling and infrastructure — areas in which European plant manufacturers are technologically well positioned.</w:t>
      </w:r>
    </w:p>
    <w:p w14:paraId="35058572"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This signifies a clear shift in focus for chemical plant engineering: the European project business of the coming years will be less driven by new crackers or fertiliser plants and more by CCS infrastructure projects such as Northern Lights, electrolysis plants for industrial hydrogen, pyrolysis and solvolysis units for chemical recycling and the electrification of existing process plants. These projects are more technologically demanding and are subject to stricter regulatory oversight. They also require stronger cooperation structures than traditional EPC contracts, which is precisely where European plant engineers can leverage their competitive advantage over Asian suppliers.</w:t>
      </w:r>
    </w:p>
    <w:p w14:paraId="2FDD25E1"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The future of the European chemical plant engineering business is thus emerging at the intersection of industry, energy and climate policy – where technological depth, front-end expertise and regulatory experience are more important than low engineering costs.</w:t>
      </w:r>
    </w:p>
    <w:p w14:paraId="5202FCCF"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en-GB"/>
        </w:rPr>
      </w:pPr>
      <w:r w:rsidRPr="007F44C2">
        <w:rPr>
          <w:rFonts w:ascii="Calibri" w:hAnsi="Calibri" w:cs="Calibri"/>
          <w:b/>
          <w:bCs/>
          <w:kern w:val="2"/>
          <w:sz w:val="28"/>
          <w:szCs w:val="28"/>
          <w:lang w:val="en-GB"/>
        </w:rPr>
        <w:t>Conclusion: Decarbonisation is becoming a practical challenge</w:t>
      </w:r>
    </w:p>
    <w:p w14:paraId="57A96365"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lastRenderedPageBreak/>
        <w:t xml:space="preserve">Chemical plant engineering is no longer grappling with the question of whether decarbonisation will happen, but rather how climate targets, investment discipline and productivity can be combined in real-world projects. Many hydrogen and power-to-X projects are still in the pipeline, while CCS value chains, carbon management infrastructure and chemical recycling are being incorporated into everyday EPC work much more quickly. </w:t>
      </w:r>
      <w:r w:rsidRPr="007F44C2">
        <w:rPr>
          <w:rFonts w:ascii="Calibri" w:hAnsi="Calibri" w:cs="Calibri"/>
          <w:b/>
          <w:bCs/>
          <w:i/>
          <w:iCs/>
          <w:kern w:val="2"/>
          <w:lang w:val="en-GB"/>
        </w:rPr>
        <w:t>The ability to industrialise processes in collaboration with partners, to create repeatability rather than one-offs, and to factor in net-zero options right from the outset is more important than the individual technology.</w:t>
      </w:r>
    </w:p>
    <w:p w14:paraId="1856FD80"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At the same time, productivity is becoming a prerequisite for this transformation. Skills shortages, more complex supply chains and higher resilience requirements are driving the need for data-driven engineering, modularisation and digital twins. The next investment cycle will not be won by those who draw up the most ambitious roadmaps, but by those who can implement CCS, hydrogen, recycling, electrification and digital project management in a robust and scalable way.</w:t>
      </w:r>
    </w:p>
    <w:p w14:paraId="5C47C8E0" w14:textId="77777777" w:rsidR="002544D6" w:rsidRPr="00FA051A" w:rsidRDefault="002544D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Arial Narrow" w:eastAsia="Arial Narrow" w:hAnsi="Arial Narrow" w:cs="Arial Narrow"/>
          <w:kern w:val="2"/>
          <w:lang w:val="en-GB"/>
        </w:rPr>
      </w:pPr>
    </w:p>
    <w:p w14:paraId="48F22E1D"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r w:rsidRPr="007F44C2">
        <w:rPr>
          <w:rFonts w:ascii="Calibri" w:hAnsi="Calibri" w:cs="Calibri"/>
          <w:kern w:val="2"/>
          <w:lang w:val="en-GB"/>
        </w:rPr>
        <w:t>The author: Armin Scheuermann, chemical engineer and freelance trade journalist</w:t>
      </w:r>
    </w:p>
    <w:p w14:paraId="0DDFE83A" w14:textId="77777777" w:rsidR="002544D6" w:rsidRPr="007F44C2" w:rsidRDefault="002544D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p>
    <w:p w14:paraId="61DCBCCE"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i/>
          <w:iCs/>
          <w:kern w:val="2"/>
          <w:lang w:val="en-GB"/>
        </w:rPr>
      </w:pPr>
      <w:commentRangeStart w:id="0"/>
      <w:r w:rsidRPr="007F44C2">
        <w:rPr>
          <w:rFonts w:ascii="Calibri" w:hAnsi="Calibri" w:cs="Calibri"/>
          <w:i/>
          <w:iCs/>
          <w:kern w:val="2"/>
          <w:lang w:val="en-GB"/>
        </w:rPr>
        <w:t xml:space="preserve">The first part of this trend report </w:t>
      </w:r>
      <w:commentRangeEnd w:id="0"/>
      <w:r w:rsidR="00287C41" w:rsidRPr="007F44C2">
        <w:rPr>
          <w:rStyle w:val="Kommentarzeichen"/>
          <w:rFonts w:ascii="Calibri" w:hAnsi="Calibri" w:cs="Calibri"/>
          <w:i/>
          <w:iCs/>
          <w:kern w:val="2"/>
          <w:sz w:val="24"/>
          <w:szCs w:val="24"/>
          <w:lang w:val="en-GB"/>
        </w:rPr>
        <w:commentReference w:id="0"/>
      </w:r>
      <w:r w:rsidRPr="007F44C2">
        <w:rPr>
          <w:rFonts w:ascii="Calibri" w:hAnsi="Calibri" w:cs="Calibri"/>
          <w:i/>
          <w:iCs/>
          <w:kern w:val="2"/>
          <w:lang w:val="en-GB"/>
        </w:rPr>
        <w:t>shows how this transformation agenda fits into a shifting landscape of capital and locations – from new integrated sites in China and mega-projects in the Gulf to Europe’s role as a selective location.</w:t>
      </w:r>
    </w:p>
    <w:p w14:paraId="6C440C77" w14:textId="77777777" w:rsidR="002544D6" w:rsidRPr="007F44C2" w:rsidRDefault="002544D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en-GB"/>
        </w:rPr>
      </w:pPr>
    </w:p>
    <w:p w14:paraId="099F2513" w14:textId="77777777" w:rsidR="002544D6" w:rsidRPr="007F44C2" w:rsidRDefault="002E4D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rPr>
      </w:pPr>
      <w:r w:rsidRPr="007F44C2">
        <w:rPr>
          <w:rFonts w:ascii="Calibri" w:hAnsi="Calibri" w:cs="Calibri"/>
          <w:kern w:val="2"/>
          <w:lang w:val="en-GB"/>
        </w:rPr>
        <w:t>Keywords in this article: #plantconstruction #chemicalplantconstruction #epc #ccs #decarbonisation #hydrogen #ai #modularisation #digitalengineering #energietransformation #recycling #achema</w:t>
      </w:r>
    </w:p>
    <w:sectPr w:rsidR="002544D6" w:rsidRPr="007F44C2">
      <w:headerReference w:type="default" r:id="rId10"/>
      <w:footerReference w:type="default" r:id="rId11"/>
      <w:pgSz w:w="11900" w:h="16840"/>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ster, Simone" w:date="2026-05-28T09:39:00Z" w:initials="SA">
    <w:p w14:paraId="4B734390" w14:textId="77777777" w:rsidR="00287C41" w:rsidRDefault="00287C41" w:rsidP="00287C41">
      <w:pPr>
        <w:pStyle w:val="Kommentartext"/>
      </w:pPr>
      <w:r>
        <w:rPr>
          <w:rStyle w:val="Kommentarzeichen"/>
        </w:rPr>
        <w:annotationRef/>
      </w:r>
      <w:r>
        <w:t xml:space="preserve">Verlinkung auf ersten Teil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3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DAAE5" w16cex:dateUtc="2026-05-28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34390" w16cid:durableId="267DA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7D32" w14:textId="77777777" w:rsidR="00E453DF" w:rsidRDefault="00E453DF">
      <w:r>
        <w:separator/>
      </w:r>
    </w:p>
  </w:endnote>
  <w:endnote w:type="continuationSeparator" w:id="0">
    <w:p w14:paraId="1FDE44BE" w14:textId="77777777" w:rsidR="00E453DF" w:rsidRDefault="00E4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28C3" w14:textId="77777777" w:rsidR="002544D6" w:rsidRDefault="002544D6">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9920" w14:textId="77777777" w:rsidR="00E453DF" w:rsidRDefault="00E453DF">
      <w:r>
        <w:separator/>
      </w:r>
    </w:p>
  </w:footnote>
  <w:footnote w:type="continuationSeparator" w:id="0">
    <w:p w14:paraId="39B2758A" w14:textId="77777777" w:rsidR="00E453DF" w:rsidRDefault="00E4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15DB" w14:textId="77777777" w:rsidR="002544D6" w:rsidRDefault="002544D6">
    <w:pPr>
      <w:pStyle w:val="Kopf-undFuzeilen"/>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ster, Simone">
    <w15:presenceInfo w15:providerId="AD" w15:userId="S::simone.angster@dechema.de::f6d8ef9e-61fe-4d5e-aac9-755fd5d99f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D6"/>
    <w:rsid w:val="002544D6"/>
    <w:rsid w:val="00287C41"/>
    <w:rsid w:val="002E4DB7"/>
    <w:rsid w:val="002E7E9A"/>
    <w:rsid w:val="003669F8"/>
    <w:rsid w:val="00377631"/>
    <w:rsid w:val="005B7AC8"/>
    <w:rsid w:val="007265E7"/>
    <w:rsid w:val="007E5D2E"/>
    <w:rsid w:val="007F44C2"/>
    <w:rsid w:val="00957021"/>
    <w:rsid w:val="00A60464"/>
    <w:rsid w:val="00AB6E00"/>
    <w:rsid w:val="00B35B75"/>
    <w:rsid w:val="00C2744D"/>
    <w:rsid w:val="00DE0BB4"/>
    <w:rsid w:val="00E3483A"/>
    <w:rsid w:val="00E453DF"/>
    <w:rsid w:val="00EC7A74"/>
    <w:rsid w:val="00FA0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4983"/>
  <w15:docId w15:val="{3684397B-CBF0-43ED-B3C2-D5B7EB12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erarbeitung">
    <w:name w:val="Revision"/>
    <w:hidden/>
    <w:uiPriority w:val="99"/>
    <w:semiHidden/>
    <w:rsid w:val="002E7E9A"/>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sid w:val="00287C41"/>
    <w:rPr>
      <w:sz w:val="16"/>
      <w:szCs w:val="16"/>
    </w:rPr>
  </w:style>
  <w:style w:type="paragraph" w:styleId="Kommentartext">
    <w:name w:val="annotation text"/>
    <w:basedOn w:val="Standard"/>
    <w:link w:val="KommentartextZchn"/>
    <w:uiPriority w:val="99"/>
    <w:unhideWhenUsed/>
    <w:rsid w:val="00287C41"/>
    <w:rPr>
      <w:sz w:val="20"/>
      <w:szCs w:val="20"/>
    </w:rPr>
  </w:style>
  <w:style w:type="character" w:customStyle="1" w:styleId="KommentartextZchn">
    <w:name w:val="Kommentartext Zchn"/>
    <w:basedOn w:val="Absatz-Standardschriftart"/>
    <w:link w:val="Kommentartext"/>
    <w:uiPriority w:val="99"/>
    <w:rsid w:val="00287C41"/>
    <w:rPr>
      <w:rFonts w:cs="Arial Unicode MS"/>
      <w:color w:val="000000"/>
      <w:u w:color="000000"/>
      <w:lang w:val="en-US"/>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287C41"/>
    <w:rPr>
      <w:b/>
      <w:bCs/>
    </w:rPr>
  </w:style>
  <w:style w:type="character" w:customStyle="1" w:styleId="KommentarthemaZchn">
    <w:name w:val="Kommentarthema Zchn"/>
    <w:basedOn w:val="KommentartextZchn"/>
    <w:link w:val="Kommentarthema"/>
    <w:uiPriority w:val="99"/>
    <w:semiHidden/>
    <w:rsid w:val="00287C41"/>
    <w:rPr>
      <w:rFonts w:cs="Arial Unicode MS"/>
      <w:b/>
      <w:bCs/>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2535</Words>
  <Characters>15971</Characters>
  <Application>Microsoft Office Word</Application>
  <DocSecurity>0</DocSecurity>
  <Lines>133</Lines>
  <Paragraphs>36</Paragraphs>
  <ScaleCrop>false</ScaleCrop>
  <Company>DECHEMA e.V.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Schmitt, Laura-Katja</cp:lastModifiedBy>
  <cp:revision>10</cp:revision>
  <dcterms:created xsi:type="dcterms:W3CDTF">2026-05-22T12:08:00Z</dcterms:created>
  <dcterms:modified xsi:type="dcterms:W3CDTF">2026-07-14T07:03:00Z</dcterms:modified>
</cp:coreProperties>
</file>